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DEDA0" w14:textId="77777777" w:rsidR="00674FE5" w:rsidRDefault="00674FE5" w:rsidP="00674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F3B">
        <w:rPr>
          <w:rFonts w:ascii="Times New Roman" w:hAnsi="Times New Roman"/>
          <w:noProof/>
          <w:szCs w:val="20"/>
          <w:lang w:val="en-US" w:eastAsia="en-US"/>
        </w:rPr>
        <w:drawing>
          <wp:inline distT="0" distB="0" distL="0" distR="0" wp14:anchorId="6DAF36E9" wp14:editId="75DA6780">
            <wp:extent cx="2320113" cy="586852"/>
            <wp:effectExtent l="19050" t="0" r="3987" b="0"/>
            <wp:docPr id="7" name="Picture 0" descr="D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260" cy="5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20CF5" w14:textId="77777777" w:rsidR="00674FE5" w:rsidRDefault="00674FE5" w:rsidP="00674FE5">
      <w:pPr>
        <w:spacing w:line="240" w:lineRule="auto"/>
        <w:ind w:right="-178"/>
        <w:contextualSpacing/>
        <w:jc w:val="center"/>
        <w:rPr>
          <w:rFonts w:ascii="Times New Roman" w:hAnsi="Times New Roman" w:cs="Times New Roman"/>
        </w:rPr>
      </w:pPr>
    </w:p>
    <w:p w14:paraId="3D07FA55" w14:textId="77777777" w:rsidR="00674FE5" w:rsidRPr="00635F3B" w:rsidRDefault="00674FE5" w:rsidP="00674FE5">
      <w:pPr>
        <w:spacing w:line="240" w:lineRule="auto"/>
        <w:ind w:right="-178"/>
        <w:contextualSpacing/>
        <w:jc w:val="center"/>
        <w:rPr>
          <w:rFonts w:ascii="Times New Roman" w:hAnsi="Times New Roman"/>
          <w:b/>
          <w:bCs/>
          <w:sz w:val="18"/>
        </w:rPr>
      </w:pPr>
      <w:r w:rsidRPr="00635F3B">
        <w:rPr>
          <w:rFonts w:ascii="Times New Roman" w:hAnsi="Times New Roman" w:cs="Times New Roman"/>
        </w:rPr>
        <w:t>VšĮ "Diversity Development Group"</w:t>
      </w:r>
    </w:p>
    <w:p w14:paraId="761B54DC" w14:textId="705E059A" w:rsidR="00674FE5" w:rsidRPr="00635F3B" w:rsidRDefault="00AA3C46" w:rsidP="00674FE5">
      <w:pPr>
        <w:pStyle w:val="CentrBoldm"/>
        <w:contextualSpacing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sz w:val="22"/>
          <w:szCs w:val="22"/>
          <w:lang w:val="lt-LT"/>
        </w:rPr>
        <w:t>Company code</w:t>
      </w:r>
      <w:r w:rsidR="00674FE5" w:rsidRPr="00635F3B">
        <w:rPr>
          <w:rFonts w:ascii="Times New Roman" w:hAnsi="Times New Roman"/>
          <w:b w:val="0"/>
          <w:sz w:val="22"/>
          <w:szCs w:val="22"/>
          <w:lang w:val="lt-LT"/>
        </w:rPr>
        <w:t xml:space="preserve"> </w:t>
      </w:r>
      <w:r w:rsidR="00674FE5" w:rsidRPr="00635F3B">
        <w:rPr>
          <w:rFonts w:ascii="Times New Roman" w:hAnsi="Times New Roman"/>
          <w:b w:val="0"/>
          <w:sz w:val="22"/>
          <w:szCs w:val="22"/>
          <w:shd w:val="clear" w:color="auto" w:fill="FAFAFA"/>
          <w:lang w:val="lt-LT"/>
        </w:rPr>
        <w:t>302877111</w:t>
      </w:r>
      <w:r w:rsidR="00674FE5" w:rsidRPr="00635F3B">
        <w:rPr>
          <w:rFonts w:ascii="Times New Roman" w:hAnsi="Times New Roman"/>
          <w:b w:val="0"/>
          <w:sz w:val="22"/>
          <w:szCs w:val="22"/>
          <w:lang w:val="lt-LT"/>
        </w:rPr>
        <w:t xml:space="preserve">, Z. Sierakausko 15, Vilnius, </w:t>
      </w:r>
      <w:r>
        <w:rPr>
          <w:rFonts w:ascii="Times New Roman" w:hAnsi="Times New Roman"/>
          <w:b w:val="0"/>
          <w:sz w:val="22"/>
          <w:szCs w:val="22"/>
          <w:lang w:val="lt-LT"/>
        </w:rPr>
        <w:t>Lithuania</w:t>
      </w:r>
    </w:p>
    <w:p w14:paraId="11936ECA" w14:textId="77777777" w:rsidR="00674FE5" w:rsidRDefault="00674FE5" w:rsidP="00674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4BA9A8" w14:textId="69C1741E" w:rsidR="008B466E" w:rsidRDefault="00B272BA" w:rsidP="00B272BA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B272BA">
        <w:rPr>
          <w:rFonts w:ascii="Times New Roman" w:hAnsi="Times New Roman"/>
          <w:bCs/>
          <w:caps/>
          <w:sz w:val="24"/>
          <w:szCs w:val="24"/>
        </w:rPr>
        <w:t xml:space="preserve"> </w:t>
      </w:r>
    </w:p>
    <w:p w14:paraId="600E0064" w14:textId="6EA2AB9A" w:rsidR="00674FE5" w:rsidRPr="002D5811" w:rsidRDefault="008B466E" w:rsidP="008B466E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 xml:space="preserve">Final report of </w:t>
      </w:r>
      <w:r w:rsidR="00B272BA">
        <w:rPr>
          <w:rFonts w:ascii="Times New Roman" w:hAnsi="Times New Roman"/>
          <w:bCs/>
          <w:caps/>
          <w:sz w:val="24"/>
          <w:szCs w:val="24"/>
        </w:rPr>
        <w:t>S</w:t>
      </w:r>
      <w:r w:rsidR="00B272BA" w:rsidRPr="002D5811">
        <w:rPr>
          <w:rFonts w:ascii="Times New Roman" w:hAnsi="Times New Roman"/>
          <w:bCs/>
          <w:caps/>
          <w:sz w:val="24"/>
          <w:szCs w:val="24"/>
        </w:rPr>
        <w:t>OCIOLOGI</w:t>
      </w:r>
      <w:r w:rsidR="00B272BA">
        <w:rPr>
          <w:rFonts w:ascii="Times New Roman" w:hAnsi="Times New Roman"/>
          <w:bCs/>
          <w:caps/>
          <w:sz w:val="24"/>
          <w:szCs w:val="24"/>
        </w:rPr>
        <w:t xml:space="preserve">CAL SURVEY </w:t>
      </w:r>
      <w:r>
        <w:rPr>
          <w:rFonts w:ascii="Times New Roman" w:hAnsi="Times New Roman"/>
          <w:bCs/>
          <w:caps/>
          <w:sz w:val="24"/>
          <w:szCs w:val="24"/>
        </w:rPr>
        <w:t>“</w:t>
      </w:r>
      <w:r w:rsidRPr="00B272BA">
        <w:rPr>
          <w:rFonts w:ascii="Times New Roman" w:hAnsi="Times New Roman"/>
          <w:bCs/>
          <w:caps/>
          <w:sz w:val="24"/>
          <w:szCs w:val="24"/>
        </w:rPr>
        <w:t>SITUATION OF ROMA in lithuania</w:t>
      </w:r>
      <w:r>
        <w:rPr>
          <w:rFonts w:ascii="Times New Roman" w:hAnsi="Times New Roman"/>
          <w:bCs/>
          <w:caps/>
          <w:sz w:val="24"/>
          <w:szCs w:val="24"/>
        </w:rPr>
        <w:t>”</w:t>
      </w:r>
    </w:p>
    <w:p w14:paraId="1431E156" w14:textId="77777777" w:rsidR="00674FE5" w:rsidRDefault="00674FE5" w:rsidP="00674FE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89E4E06" w14:textId="77777777" w:rsidR="00674FE5" w:rsidRPr="00D277F7" w:rsidRDefault="00B44A23" w:rsidP="00674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April </w:t>
      </w:r>
      <w:r w:rsidR="00674FE5" w:rsidRPr="00D277F7">
        <w:rPr>
          <w:rFonts w:ascii="Times New Roman" w:hAnsi="Times New Roman"/>
          <w:sz w:val="24"/>
          <w:szCs w:val="24"/>
        </w:rPr>
        <w:t>2015</w:t>
      </w:r>
      <w:r w:rsidR="00674FE5">
        <w:rPr>
          <w:rFonts w:ascii="Times New Roman" w:hAnsi="Times New Roman"/>
          <w:sz w:val="24"/>
          <w:szCs w:val="24"/>
        </w:rPr>
        <w:t xml:space="preserve"> </w:t>
      </w:r>
    </w:p>
    <w:p w14:paraId="4C241558" w14:textId="77777777" w:rsidR="00674FE5" w:rsidRPr="00D277F7" w:rsidRDefault="00674FE5" w:rsidP="00674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7F7">
        <w:rPr>
          <w:rFonts w:ascii="Times New Roman" w:hAnsi="Times New Roman"/>
          <w:sz w:val="24"/>
          <w:szCs w:val="24"/>
        </w:rPr>
        <w:t>Vilnius</w:t>
      </w:r>
    </w:p>
    <w:p w14:paraId="1F53B0A8" w14:textId="77777777" w:rsidR="00674FE5" w:rsidRPr="002D5811" w:rsidRDefault="00674FE5" w:rsidP="0067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7"/>
      </w:tblGrid>
      <w:tr w:rsidR="00674FE5" w:rsidRPr="002D5811" w14:paraId="0BBDA97B" w14:textId="77777777" w:rsidTr="00674FE5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EC8" w14:textId="215D7C8A" w:rsidR="00674FE5" w:rsidRPr="002D5811" w:rsidRDefault="00C949DE" w:rsidP="0067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Provider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5BFDF" w14:textId="77777777" w:rsidR="00674FE5" w:rsidRPr="002D5811" w:rsidRDefault="00674FE5" w:rsidP="0067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VšĮ "</w:t>
            </w:r>
            <w:r w:rsidRPr="009F1C14">
              <w:rPr>
                <w:rFonts w:ascii="Times New Roman" w:hAnsi="Times New Roman" w:cs="Times New Roman"/>
                <w:sz w:val="24"/>
                <w:szCs w:val="24"/>
              </w:rPr>
              <w:t>Diversity Development Group"</w:t>
            </w:r>
          </w:p>
          <w:p w14:paraId="4E1EB975" w14:textId="77777777" w:rsidR="00674FE5" w:rsidRPr="002D5811" w:rsidRDefault="00674FE5" w:rsidP="0067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FE5" w:rsidRPr="002D5811" w14:paraId="190CDCD7" w14:textId="77777777" w:rsidTr="00674FE5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D59" w14:textId="224DE52C" w:rsidR="00674FE5" w:rsidRPr="002D5811" w:rsidRDefault="00C949DE" w:rsidP="00B44A23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Provider’s</w:t>
            </w:r>
            <w:r w:rsidR="00B44A23">
              <w:rPr>
                <w:rFonts w:ascii="Times New Roman" w:hAnsi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47282" w14:textId="77777777" w:rsidR="00674FE5" w:rsidRPr="002D5811" w:rsidRDefault="00674FE5" w:rsidP="0067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14">
              <w:rPr>
                <w:rFonts w:ascii="Times New Roman" w:hAnsi="Times New Roman"/>
                <w:sz w:val="24"/>
                <w:szCs w:val="24"/>
              </w:rPr>
              <w:t>Z. Sierakausko 15, Vilnius, Lietuva</w:t>
            </w:r>
          </w:p>
          <w:p w14:paraId="2AC9C164" w14:textId="77777777" w:rsidR="00674FE5" w:rsidRPr="002D5811" w:rsidRDefault="00674FE5" w:rsidP="0067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FE5" w:rsidRPr="002D5811" w14:paraId="0B033705" w14:textId="77777777" w:rsidTr="00674FE5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0D6" w14:textId="297D5692" w:rsidR="00674FE5" w:rsidRPr="002D5811" w:rsidRDefault="00B44A23" w:rsidP="003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and title of the person in charge of the bid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3F537" w14:textId="61EA5CF4" w:rsidR="00674FE5" w:rsidRPr="002D5811" w:rsidRDefault="003C65A5" w:rsidP="003C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Survey team leader </w:t>
            </w:r>
            <w:r w:rsidR="00674FE5">
              <w:rPr>
                <w:rFonts w:ascii="Times New Roman" w:hAnsi="Times New Roman"/>
                <w:sz w:val="24"/>
                <w:szCs w:val="24"/>
              </w:rPr>
              <w:t>Vita Petrušauskaitė</w:t>
            </w:r>
          </w:p>
        </w:tc>
      </w:tr>
      <w:tr w:rsidR="00674FE5" w:rsidRPr="002D5811" w14:paraId="05E3BA55" w14:textId="77777777" w:rsidTr="00674FE5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DFF" w14:textId="0F76CFED" w:rsidR="00674FE5" w:rsidRPr="002D5811" w:rsidRDefault="00674FE5" w:rsidP="00B44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11">
              <w:rPr>
                <w:rFonts w:ascii="Times New Roman" w:hAnsi="Times New Roman"/>
                <w:sz w:val="24"/>
                <w:szCs w:val="24"/>
              </w:rPr>
              <w:t>Tele</w:t>
            </w:r>
            <w:r w:rsidR="00B44A23">
              <w:rPr>
                <w:rFonts w:ascii="Times New Roman" w:hAnsi="Times New Roman"/>
                <w:sz w:val="24"/>
                <w:szCs w:val="24"/>
              </w:rPr>
              <w:t>pho</w:t>
            </w:r>
            <w:r w:rsidR="00CA5B1A">
              <w:rPr>
                <w:rFonts w:ascii="Times New Roman" w:hAnsi="Times New Roman"/>
                <w:sz w:val="24"/>
                <w:szCs w:val="24"/>
              </w:rPr>
              <w:t>ne</w:t>
            </w:r>
            <w:r w:rsidR="00B44A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2856F" w14:textId="77777777" w:rsidR="00674FE5" w:rsidRPr="00C868C0" w:rsidRDefault="00674FE5" w:rsidP="00674F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(8-5) 2722063</w:t>
            </w:r>
          </w:p>
          <w:p w14:paraId="5365DD32" w14:textId="77777777" w:rsidR="00674FE5" w:rsidRPr="002D5811" w:rsidRDefault="00674FE5" w:rsidP="0067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FE5" w:rsidRPr="002D5811" w14:paraId="7DEE823B" w14:textId="77777777" w:rsidTr="00674FE5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954" w14:textId="77777777" w:rsidR="00674FE5" w:rsidRPr="002D5811" w:rsidRDefault="00674FE5" w:rsidP="00B44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11">
              <w:rPr>
                <w:rFonts w:ascii="Times New Roman" w:hAnsi="Times New Roman"/>
                <w:sz w:val="24"/>
                <w:szCs w:val="24"/>
              </w:rPr>
              <w:t>Fa</w:t>
            </w:r>
            <w:r w:rsidR="00B44A2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282B4" w14:textId="77777777" w:rsidR="00674FE5" w:rsidRPr="002D5811" w:rsidRDefault="00674FE5" w:rsidP="0067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FD0D27" w14:textId="77777777" w:rsidR="00674FE5" w:rsidRPr="002D5811" w:rsidRDefault="00674FE5" w:rsidP="0067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FE5" w:rsidRPr="002D5811" w14:paraId="750C45B7" w14:textId="77777777" w:rsidTr="00674FE5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54F" w14:textId="77777777" w:rsidR="00674FE5" w:rsidRPr="002D5811" w:rsidRDefault="00674FE5" w:rsidP="00B44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11">
              <w:rPr>
                <w:rFonts w:ascii="Times New Roman" w:hAnsi="Times New Roman"/>
                <w:sz w:val="24"/>
                <w:szCs w:val="24"/>
              </w:rPr>
              <w:t>E</w:t>
            </w:r>
            <w:r w:rsidR="00B44A23">
              <w:rPr>
                <w:rFonts w:ascii="Times New Roman" w:hAnsi="Times New Roman"/>
                <w:sz w:val="24"/>
                <w:szCs w:val="24"/>
              </w:rPr>
              <w:t xml:space="preserve">-mail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9458D" w14:textId="77777777" w:rsidR="00674FE5" w:rsidRPr="002D5811" w:rsidRDefault="002D74D5" w:rsidP="0067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74FE5" w:rsidRPr="001B73E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vita@ces.lt</w:t>
              </w:r>
            </w:hyperlink>
            <w:r w:rsidR="0067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7E017F" w14:textId="77777777" w:rsidR="00674FE5" w:rsidRPr="002D5811" w:rsidRDefault="00674FE5" w:rsidP="0067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B82DA" w14:textId="77777777" w:rsidR="00674FE5" w:rsidRPr="002D5811" w:rsidRDefault="00674FE5" w:rsidP="00674FE5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lt-LT" w:eastAsia="lt-LT"/>
        </w:rPr>
        <w:id w:val="353953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6A37CB52" w14:textId="77777777" w:rsidR="00763EAE" w:rsidRDefault="00D86FDA">
          <w:pPr>
            <w:pStyle w:val="TOCHeading"/>
          </w:pPr>
          <w:r>
            <w:rPr>
              <w:color w:val="auto"/>
              <w:lang w:val="lt-LT"/>
            </w:rPr>
            <w:t>Table of Contents</w:t>
          </w:r>
        </w:p>
        <w:p w14:paraId="797FF8CE" w14:textId="3117340E" w:rsidR="00763EAE" w:rsidRPr="00FD08D8" w:rsidRDefault="00A436B7">
          <w:pPr>
            <w:pStyle w:val="TOC1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r w:rsidRPr="00FD08D8">
            <w:rPr>
              <w:rFonts w:ascii="Times New Roman" w:hAnsi="Times New Roman" w:cs="Times New Roman"/>
            </w:rPr>
            <w:fldChar w:fldCharType="begin"/>
          </w:r>
          <w:r w:rsidR="00763EAE" w:rsidRPr="00FD08D8">
            <w:rPr>
              <w:rFonts w:ascii="Times New Roman" w:hAnsi="Times New Roman" w:cs="Times New Roman"/>
            </w:rPr>
            <w:instrText xml:space="preserve"> TOC \o "1-3" \h \z \u </w:instrText>
          </w:r>
          <w:r w:rsidRPr="00FD08D8">
            <w:rPr>
              <w:rFonts w:ascii="Times New Roman" w:hAnsi="Times New Roman" w:cs="Times New Roman"/>
            </w:rPr>
            <w:fldChar w:fldCharType="separate"/>
          </w:r>
          <w:hyperlink w:anchor="_Toc419882039" w:history="1">
            <w:r w:rsidR="00DC77B7">
              <w:rPr>
                <w:rStyle w:val="Hyperlink"/>
                <w:rFonts w:ascii="Times New Roman" w:hAnsi="Times New Roman"/>
                <w:noProof/>
              </w:rPr>
              <w:t>Technical Report</w:t>
            </w:r>
            <w:r w:rsidR="00763EAE" w:rsidRPr="00FD08D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D08D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63EAE" w:rsidRPr="00FD08D8">
              <w:rPr>
                <w:rFonts w:ascii="Times New Roman" w:hAnsi="Times New Roman" w:cs="Times New Roman"/>
                <w:noProof/>
                <w:webHidden/>
              </w:rPr>
              <w:instrText xml:space="preserve"> PAGEREF _Toc419882039 \h </w:instrText>
            </w:r>
            <w:r w:rsidRPr="00FD08D8">
              <w:rPr>
                <w:rFonts w:ascii="Times New Roman" w:hAnsi="Times New Roman" w:cs="Times New Roman"/>
                <w:noProof/>
                <w:webHidden/>
              </w:rPr>
            </w:r>
            <w:r w:rsidRPr="00FD08D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7AE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D08D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78E5E1" w14:textId="2B2432BD" w:rsidR="00763EAE" w:rsidRPr="00FD08D8" w:rsidRDefault="002D74D5">
          <w:pPr>
            <w:pStyle w:val="TOC1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419882040" w:history="1">
            <w:r w:rsidR="00AC3BA8">
              <w:rPr>
                <w:rStyle w:val="Hyperlink"/>
                <w:rFonts w:ascii="Times New Roman" w:hAnsi="Times New Roman"/>
                <w:noProof/>
              </w:rPr>
              <w:t>Survey Results</w:t>
            </w:r>
            <w:r w:rsidR="00763EAE" w:rsidRPr="00FD08D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63EAE" w:rsidRPr="00FD08D8">
              <w:rPr>
                <w:rFonts w:ascii="Times New Roman" w:hAnsi="Times New Roman" w:cs="Times New Roman"/>
                <w:noProof/>
                <w:webHidden/>
              </w:rPr>
              <w:instrText xml:space="preserve"> PAGEREF _Toc419882040 \h </w:instrText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7AE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17CA12" w14:textId="61016110" w:rsidR="00763EAE" w:rsidRPr="00FD08D8" w:rsidRDefault="002D74D5">
          <w:pPr>
            <w:pStyle w:val="TOC2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419882041" w:history="1">
            <w:r w:rsidR="00491F15">
              <w:rPr>
                <w:rStyle w:val="Hyperlink"/>
                <w:rFonts w:ascii="Times New Roman" w:hAnsi="Times New Roman"/>
                <w:noProof/>
              </w:rPr>
              <w:t>Data on H</w:t>
            </w:r>
            <w:r w:rsidR="00DC77B7">
              <w:rPr>
                <w:rStyle w:val="Hyperlink"/>
                <w:rFonts w:ascii="Times New Roman" w:hAnsi="Times New Roman"/>
                <w:noProof/>
              </w:rPr>
              <w:t>ouseholds</w:t>
            </w:r>
            <w:r w:rsidR="00763EAE" w:rsidRPr="00FD08D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63EAE" w:rsidRPr="00FD08D8">
              <w:rPr>
                <w:rFonts w:ascii="Times New Roman" w:hAnsi="Times New Roman" w:cs="Times New Roman"/>
                <w:noProof/>
                <w:webHidden/>
              </w:rPr>
              <w:instrText xml:space="preserve"> PAGEREF _Toc419882041 \h </w:instrText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7AE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AFEC81" w14:textId="087B7929" w:rsidR="00763EAE" w:rsidRPr="00FD08D8" w:rsidRDefault="002D74D5">
          <w:pPr>
            <w:pStyle w:val="TOC2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419882042" w:history="1">
            <w:r w:rsidR="00DC77B7">
              <w:rPr>
                <w:rStyle w:val="Hyperlink"/>
                <w:rFonts w:ascii="Times New Roman" w:hAnsi="Times New Roman"/>
                <w:noProof/>
              </w:rPr>
              <w:t xml:space="preserve">Data </w:t>
            </w:r>
            <w:r w:rsidR="00491F15">
              <w:rPr>
                <w:rStyle w:val="Hyperlink"/>
                <w:rFonts w:ascii="Times New Roman" w:hAnsi="Times New Roman"/>
                <w:noProof/>
              </w:rPr>
              <w:t>on Individuals</w:t>
            </w:r>
            <w:r w:rsidR="00763EAE" w:rsidRPr="00FD08D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63EAE" w:rsidRPr="00FD08D8">
              <w:rPr>
                <w:rFonts w:ascii="Times New Roman" w:hAnsi="Times New Roman" w:cs="Times New Roman"/>
                <w:noProof/>
                <w:webHidden/>
              </w:rPr>
              <w:instrText xml:space="preserve"> PAGEREF _Toc419882042 \h </w:instrText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7AE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10F426" w14:textId="74FAE4B8" w:rsidR="00763EAE" w:rsidRPr="00FD08D8" w:rsidRDefault="002D74D5">
          <w:pPr>
            <w:pStyle w:val="TOC1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419882043" w:history="1">
            <w:r w:rsidR="00D86FDA">
              <w:rPr>
                <w:rStyle w:val="Hyperlink"/>
                <w:rFonts w:ascii="Times New Roman" w:hAnsi="Times New Roman"/>
                <w:noProof/>
              </w:rPr>
              <w:t>AN</w:t>
            </w:r>
            <w:r w:rsidR="00DC77B7">
              <w:rPr>
                <w:rStyle w:val="Hyperlink"/>
                <w:rFonts w:ascii="Times New Roman" w:hAnsi="Times New Roman"/>
                <w:noProof/>
              </w:rPr>
              <w:t>NE</w:t>
            </w:r>
            <w:r w:rsidR="00D86FDA">
              <w:rPr>
                <w:rStyle w:val="Hyperlink"/>
                <w:rFonts w:ascii="Times New Roman" w:hAnsi="Times New Roman"/>
                <w:noProof/>
              </w:rPr>
              <w:t>XES</w:t>
            </w:r>
            <w:r w:rsidR="00763EAE" w:rsidRPr="00FD08D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63EAE" w:rsidRPr="00FD08D8">
              <w:rPr>
                <w:rFonts w:ascii="Times New Roman" w:hAnsi="Times New Roman" w:cs="Times New Roman"/>
                <w:noProof/>
                <w:webHidden/>
              </w:rPr>
              <w:instrText xml:space="preserve"> PAGEREF _Toc419882043 \h </w:instrText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7AEB">
              <w:rPr>
                <w:rFonts w:ascii="Times New Roman" w:hAnsi="Times New Roman" w:cs="Times New Roman"/>
                <w:b/>
                <w:noProof/>
                <w:webHidden/>
              </w:rPr>
              <w:t>Error! Bookmark not defined.</w:t>
            </w:r>
            <w:r w:rsidR="00A436B7" w:rsidRPr="00FD08D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72FCC4" w14:textId="77777777" w:rsidR="00763EAE" w:rsidRPr="00FD08D8" w:rsidRDefault="00A436B7">
          <w:pPr>
            <w:rPr>
              <w:rFonts w:ascii="Times New Roman" w:hAnsi="Times New Roman" w:cs="Times New Roman"/>
            </w:rPr>
          </w:pPr>
          <w:r w:rsidRPr="00FD08D8">
            <w:rPr>
              <w:rFonts w:ascii="Times New Roman" w:hAnsi="Times New Roman" w:cs="Times New Roman"/>
            </w:rPr>
            <w:fldChar w:fldCharType="end"/>
          </w:r>
        </w:p>
      </w:sdtContent>
    </w:sdt>
    <w:p w14:paraId="5857D66D" w14:textId="77777777" w:rsidR="00674FE5" w:rsidRPr="00674FE5" w:rsidRDefault="00674FE5" w:rsidP="00674F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74FE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C9EAAA" w14:textId="77777777" w:rsidR="00674FE5" w:rsidRDefault="00674FE5" w:rsidP="001E25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C5825" w14:textId="77777777" w:rsidR="001E2507" w:rsidRPr="00763EAE" w:rsidRDefault="001E2507" w:rsidP="00763EAE">
      <w:pPr>
        <w:pStyle w:val="Heading1"/>
        <w:jc w:val="center"/>
        <w:rPr>
          <w:color w:val="auto"/>
        </w:rPr>
      </w:pPr>
      <w:bookmarkStart w:id="0" w:name="_Toc419882039"/>
      <w:r w:rsidRPr="00763EAE">
        <w:rPr>
          <w:color w:val="auto"/>
        </w:rPr>
        <w:t>T</w:t>
      </w:r>
      <w:r w:rsidR="00F84F5F">
        <w:rPr>
          <w:color w:val="auto"/>
        </w:rPr>
        <w:t xml:space="preserve">echnical Report </w:t>
      </w:r>
      <w:bookmarkEnd w:id="0"/>
    </w:p>
    <w:p w14:paraId="0B0E5BDC" w14:textId="77777777" w:rsidR="001E2507" w:rsidRPr="001A3E6C" w:rsidRDefault="001E2507" w:rsidP="00594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0E6C749" w14:textId="1F366571" w:rsidR="00127783" w:rsidRDefault="00F84F5F" w:rsidP="001277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Organisation of the survey</w:t>
      </w:r>
      <w:r w:rsidR="001E2507" w:rsidRPr="001A3E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7EB7" w:rsidRPr="001A3E6C">
        <w:rPr>
          <w:rFonts w:ascii="Times New Roman" w:hAnsi="Times New Roman" w:cs="Times New Roman"/>
          <w:sz w:val="24"/>
          <w:szCs w:val="24"/>
        </w:rPr>
        <w:t>S</w:t>
      </w:r>
      <w:r w:rsidR="00AF07D9" w:rsidRPr="001A3E6C">
        <w:rPr>
          <w:rFonts w:ascii="Times New Roman" w:hAnsi="Times New Roman" w:cs="Times New Roman"/>
          <w:sz w:val="24"/>
          <w:szCs w:val="24"/>
        </w:rPr>
        <w:t>oci</w:t>
      </w:r>
      <w:r w:rsidR="00586576">
        <w:rPr>
          <w:rFonts w:ascii="Times New Roman" w:hAnsi="Times New Roman" w:cs="Times New Roman"/>
          <w:sz w:val="24"/>
          <w:szCs w:val="24"/>
        </w:rPr>
        <w:t>al</w:t>
      </w:r>
      <w:r w:rsidR="007B7B7A">
        <w:rPr>
          <w:rFonts w:ascii="Times New Roman" w:hAnsi="Times New Roman" w:cs="Times New Roman"/>
          <w:sz w:val="24"/>
          <w:szCs w:val="24"/>
        </w:rPr>
        <w:t>iological</w:t>
      </w:r>
      <w:r w:rsidR="00586576">
        <w:rPr>
          <w:rFonts w:ascii="Times New Roman" w:hAnsi="Times New Roman" w:cs="Times New Roman"/>
          <w:sz w:val="24"/>
          <w:szCs w:val="24"/>
        </w:rPr>
        <w:t xml:space="preserve"> survey of R</w:t>
      </w:r>
      <w:r>
        <w:rPr>
          <w:rFonts w:ascii="Times New Roman" w:hAnsi="Times New Roman" w:cs="Times New Roman"/>
          <w:sz w:val="24"/>
          <w:szCs w:val="24"/>
        </w:rPr>
        <w:t xml:space="preserve">oma </w:t>
      </w:r>
      <w:r w:rsidR="00586576">
        <w:rPr>
          <w:rFonts w:ascii="Times New Roman" w:hAnsi="Times New Roman" w:cs="Times New Roman"/>
          <w:sz w:val="24"/>
          <w:szCs w:val="24"/>
        </w:rPr>
        <w:t xml:space="preserve">took place in March-April 2015 and included 110 households with all their </w:t>
      </w:r>
      <w:r w:rsidR="009949FE">
        <w:rPr>
          <w:rFonts w:ascii="Times New Roman" w:hAnsi="Times New Roman" w:cs="Times New Roman"/>
          <w:sz w:val="24"/>
          <w:szCs w:val="24"/>
        </w:rPr>
        <w:t>members</w:t>
      </w:r>
      <w:r w:rsidR="00586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576">
        <w:rPr>
          <w:rFonts w:ascii="Times New Roman" w:hAnsi="Times New Roman" w:cs="Times New Roman"/>
          <w:sz w:val="24"/>
          <w:szCs w:val="24"/>
        </w:rPr>
        <w:t xml:space="preserve">The total of </w:t>
      </w:r>
      <w:r w:rsidR="00586576">
        <w:rPr>
          <w:rFonts w:ascii="Times New Roman" w:hAnsi="Times New Roman" w:cs="Times New Roman"/>
          <w:sz w:val="24"/>
          <w:szCs w:val="24"/>
          <w:lang w:val="en-US"/>
        </w:rPr>
        <w:t xml:space="preserve">521 Roma </w:t>
      </w:r>
      <w:r w:rsidR="00AA3C46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586576">
        <w:rPr>
          <w:rFonts w:ascii="Times New Roman" w:hAnsi="Times New Roman" w:cs="Times New Roman"/>
          <w:sz w:val="24"/>
          <w:szCs w:val="24"/>
          <w:lang w:val="en-US"/>
        </w:rPr>
        <w:t xml:space="preserve"> interviewed, of which </w:t>
      </w:r>
      <w:r w:rsidR="004C0DB4">
        <w:rPr>
          <w:rFonts w:ascii="Times New Roman" w:hAnsi="Times New Roman" w:cs="Times New Roman"/>
          <w:sz w:val="24"/>
          <w:szCs w:val="24"/>
          <w:lang w:val="en-US"/>
        </w:rPr>
        <w:t xml:space="preserve">44 per cent were male and 56 percent female. </w:t>
      </w:r>
      <w:r w:rsidR="004C0DB4">
        <w:rPr>
          <w:rFonts w:ascii="Times New Roman" w:hAnsi="Times New Roman" w:cs="Times New Roman"/>
          <w:sz w:val="24"/>
          <w:szCs w:val="24"/>
        </w:rPr>
        <w:t xml:space="preserve">Reliability of the data collected was assessed against the </w:t>
      </w:r>
      <w:r w:rsidR="004C0DB4" w:rsidRPr="006B2510">
        <w:rPr>
          <w:rFonts w:ascii="Times New Roman" w:hAnsi="Times New Roman" w:cs="Times New Roman"/>
          <w:sz w:val="24"/>
          <w:szCs w:val="24"/>
        </w:rPr>
        <w:t>ge</w:t>
      </w:r>
      <w:r w:rsidR="009949FE" w:rsidRPr="006B2510">
        <w:rPr>
          <w:rFonts w:ascii="Times New Roman" w:hAnsi="Times New Roman" w:cs="Times New Roman"/>
          <w:sz w:val="24"/>
          <w:szCs w:val="24"/>
        </w:rPr>
        <w:t>ne</w:t>
      </w:r>
      <w:r w:rsidR="004C0DB4" w:rsidRPr="006B2510">
        <w:rPr>
          <w:rFonts w:ascii="Times New Roman" w:hAnsi="Times New Roman" w:cs="Times New Roman"/>
          <w:sz w:val="24"/>
          <w:szCs w:val="24"/>
        </w:rPr>
        <w:t>ral population</w:t>
      </w:r>
      <w:r w:rsidR="004C0DB4">
        <w:rPr>
          <w:rFonts w:ascii="Times New Roman" w:hAnsi="Times New Roman" w:cs="Times New Roman"/>
          <w:sz w:val="24"/>
          <w:szCs w:val="24"/>
        </w:rPr>
        <w:t xml:space="preserve"> of Roma as established by the </w:t>
      </w:r>
      <w:r w:rsidR="007B7B7A" w:rsidRPr="006B2510">
        <w:rPr>
          <w:rFonts w:ascii="Times New Roman" w:hAnsi="Times New Roman" w:cs="Times New Roman"/>
          <w:sz w:val="24"/>
          <w:szCs w:val="24"/>
        </w:rPr>
        <w:t>Population</w:t>
      </w:r>
      <w:r w:rsidR="007B7B7A">
        <w:rPr>
          <w:rFonts w:ascii="Times New Roman" w:hAnsi="Times New Roman" w:cs="Times New Roman"/>
          <w:sz w:val="24"/>
          <w:szCs w:val="24"/>
        </w:rPr>
        <w:t xml:space="preserve"> </w:t>
      </w:r>
      <w:r w:rsidR="006B2510">
        <w:rPr>
          <w:rFonts w:ascii="Times New Roman" w:hAnsi="Times New Roman" w:cs="Times New Roman"/>
          <w:sz w:val="24"/>
          <w:szCs w:val="24"/>
        </w:rPr>
        <w:t xml:space="preserve">and Housing </w:t>
      </w:r>
      <w:r w:rsidR="00AA3C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C36EB">
        <w:rPr>
          <w:rFonts w:ascii="Times New Roman" w:hAnsi="Times New Roman" w:cs="Times New Roman"/>
          <w:sz w:val="24"/>
          <w:szCs w:val="24"/>
          <w:lang w:val="en-US"/>
        </w:rPr>
        <w:t>ensus of 2011 (i.e.</w:t>
      </w:r>
      <w:r w:rsidR="000278E6">
        <w:rPr>
          <w:rFonts w:ascii="Times New Roman" w:hAnsi="Times New Roman" w:cs="Times New Roman"/>
          <w:sz w:val="24"/>
          <w:szCs w:val="24"/>
          <w:lang w:val="en-US"/>
        </w:rPr>
        <w:t xml:space="preserve"> 2,115 persons). </w:t>
      </w:r>
    </w:p>
    <w:p w14:paraId="7078167B" w14:textId="391155AC" w:rsidR="00582C44" w:rsidRDefault="004C0DB4" w:rsidP="00594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521 </w:t>
      </w:r>
      <w:r w:rsidR="008B466E">
        <w:rPr>
          <w:rFonts w:ascii="Times New Roman" w:hAnsi="Times New Roman" w:cs="Times New Roman"/>
          <w:sz w:val="24"/>
          <w:szCs w:val="24"/>
        </w:rPr>
        <w:t xml:space="preserve">Roma </w:t>
      </w:r>
      <w:r>
        <w:rPr>
          <w:rFonts w:ascii="Times New Roman" w:hAnsi="Times New Roman" w:cs="Times New Roman"/>
          <w:sz w:val="24"/>
          <w:szCs w:val="24"/>
        </w:rPr>
        <w:t xml:space="preserve">interviewed during the survey </w:t>
      </w:r>
      <w:r w:rsidR="007B7B7A">
        <w:rPr>
          <w:rFonts w:ascii="Times New Roman" w:hAnsi="Times New Roman" w:cs="Times New Roman"/>
          <w:sz w:val="24"/>
          <w:szCs w:val="24"/>
        </w:rPr>
        <w:t>account for</w:t>
      </w:r>
      <w:r>
        <w:rPr>
          <w:rFonts w:ascii="Times New Roman" w:hAnsi="Times New Roman" w:cs="Times New Roman"/>
          <w:sz w:val="24"/>
          <w:szCs w:val="24"/>
        </w:rPr>
        <w:t xml:space="preserve"> 25 percent of the ge</w:t>
      </w:r>
      <w:r w:rsidR="006B2510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ral Roma population. Distribution of Roma respondents by age is a rather accurate representation of the age structure of the</w:t>
      </w:r>
      <w:r w:rsidR="0012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ethnic Roma group as </w:t>
      </w:r>
      <w:r w:rsidR="006B2510">
        <w:rPr>
          <w:rFonts w:ascii="Times New Roman" w:hAnsi="Times New Roman" w:cs="Times New Roman"/>
          <w:sz w:val="24"/>
          <w:szCs w:val="24"/>
        </w:rPr>
        <w:t>captured</w:t>
      </w:r>
      <w:r>
        <w:rPr>
          <w:rFonts w:ascii="Times New Roman" w:hAnsi="Times New Roman" w:cs="Times New Roman"/>
          <w:sz w:val="24"/>
          <w:szCs w:val="24"/>
        </w:rPr>
        <w:t xml:space="preserve"> by the </w:t>
      </w:r>
      <w:r w:rsidR="00114D47">
        <w:rPr>
          <w:rFonts w:ascii="Times New Roman" w:hAnsi="Times New Roman" w:cs="Times New Roman"/>
          <w:sz w:val="24"/>
          <w:szCs w:val="24"/>
          <w:lang w:val="en-US"/>
        </w:rPr>
        <w:t xml:space="preserve">2011 </w:t>
      </w:r>
      <w:r w:rsidR="007B7B7A" w:rsidRPr="006B2510">
        <w:rPr>
          <w:rFonts w:ascii="Times New Roman" w:hAnsi="Times New Roman" w:cs="Times New Roman"/>
          <w:sz w:val="24"/>
          <w:szCs w:val="24"/>
        </w:rPr>
        <w:t>Population</w:t>
      </w:r>
      <w:r w:rsidR="007B7B7A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ensus </w:t>
      </w:r>
      <w:r w:rsidR="00E83BFD" w:rsidRPr="001A3E6C">
        <w:rPr>
          <w:rFonts w:ascii="Times New Roman" w:hAnsi="Times New Roman" w:cs="Times New Roman"/>
          <w:sz w:val="24"/>
          <w:szCs w:val="24"/>
        </w:rPr>
        <w:t>(</w:t>
      </w:r>
      <w:r w:rsidR="007B7B7A">
        <w:rPr>
          <w:rFonts w:ascii="Times New Roman" w:hAnsi="Times New Roman" w:cs="Times New Roman"/>
          <w:sz w:val="24"/>
          <w:szCs w:val="24"/>
        </w:rPr>
        <w:t>F</w:t>
      </w:r>
      <w:r w:rsidR="000F41FA">
        <w:rPr>
          <w:rFonts w:ascii="Times New Roman" w:hAnsi="Times New Roman" w:cs="Times New Roman"/>
          <w:sz w:val="24"/>
          <w:szCs w:val="24"/>
        </w:rPr>
        <w:t>ig.1)</w:t>
      </w:r>
      <w:r w:rsidR="009C52E5" w:rsidRPr="001A3E6C">
        <w:rPr>
          <w:rFonts w:ascii="Times New Roman" w:hAnsi="Times New Roman" w:cs="Times New Roman"/>
          <w:sz w:val="24"/>
          <w:szCs w:val="24"/>
        </w:rPr>
        <w:t xml:space="preserve">. </w:t>
      </w:r>
      <w:r w:rsidR="000F41FA">
        <w:rPr>
          <w:rFonts w:ascii="Times New Roman" w:hAnsi="Times New Roman" w:cs="Times New Roman"/>
          <w:sz w:val="24"/>
          <w:szCs w:val="24"/>
        </w:rPr>
        <w:t>Only the youngest age group (</w:t>
      </w:r>
      <w:r w:rsidR="007B7B7A">
        <w:rPr>
          <w:rFonts w:ascii="Times New Roman" w:hAnsi="Times New Roman" w:cs="Times New Roman"/>
          <w:sz w:val="24"/>
          <w:szCs w:val="24"/>
        </w:rPr>
        <w:t>ages</w:t>
      </w:r>
      <w:r w:rsidR="000F41FA">
        <w:rPr>
          <w:rFonts w:ascii="Times New Roman" w:hAnsi="Times New Roman" w:cs="Times New Roman"/>
          <w:sz w:val="24"/>
          <w:szCs w:val="24"/>
        </w:rPr>
        <w:t xml:space="preserve"> 0 to 9) stands out; according to the survey of 2015 the number of the young Roma in this group is slightly higher. This diffrence may be accoun</w:t>
      </w:r>
      <w:r w:rsidR="00154895">
        <w:rPr>
          <w:rFonts w:ascii="Times New Roman" w:hAnsi="Times New Roman" w:cs="Times New Roman"/>
          <w:sz w:val="24"/>
          <w:szCs w:val="24"/>
        </w:rPr>
        <w:t>ted for by both the sampling met</w:t>
      </w:r>
      <w:r w:rsidR="000F41FA">
        <w:rPr>
          <w:rFonts w:ascii="Times New Roman" w:hAnsi="Times New Roman" w:cs="Times New Roman"/>
          <w:sz w:val="24"/>
          <w:szCs w:val="24"/>
        </w:rPr>
        <w:t xml:space="preserve">hodology (families with young children were more easily available for the surveyors), and the natural changes in the population (i.e. increased birth rates). </w:t>
      </w:r>
    </w:p>
    <w:p w14:paraId="4A035A27" w14:textId="08D4EEC6" w:rsidR="00582C44" w:rsidRPr="001A3E6C" w:rsidRDefault="000F41FA" w:rsidP="00582C4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82C44" w:rsidRPr="001A3E6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14D47">
        <w:rPr>
          <w:rFonts w:ascii="Times New Roman" w:hAnsi="Times New Roman" w:cs="Times New Roman"/>
          <w:sz w:val="24"/>
          <w:szCs w:val="24"/>
        </w:rPr>
        <w:t>Age S</w:t>
      </w:r>
      <w:r w:rsidR="00C04B23">
        <w:rPr>
          <w:rFonts w:ascii="Times New Roman" w:hAnsi="Times New Roman" w:cs="Times New Roman"/>
          <w:sz w:val="24"/>
          <w:szCs w:val="24"/>
        </w:rPr>
        <w:t>tructure of Roma</w:t>
      </w:r>
      <w:r w:rsidR="001251B3">
        <w:rPr>
          <w:rFonts w:ascii="Times New Roman" w:hAnsi="Times New Roman" w:cs="Times New Roman"/>
          <w:sz w:val="24"/>
          <w:szCs w:val="24"/>
        </w:rPr>
        <w:t xml:space="preserve"> Population</w:t>
      </w:r>
      <w:r w:rsidR="00C04B23">
        <w:rPr>
          <w:rFonts w:ascii="Times New Roman" w:hAnsi="Times New Roman" w:cs="Times New Roman"/>
          <w:sz w:val="24"/>
          <w:szCs w:val="24"/>
        </w:rPr>
        <w:t>, %</w:t>
      </w:r>
      <w:r w:rsidR="00582C44" w:rsidRPr="001A3E6C">
        <w:rPr>
          <w:rFonts w:ascii="Times New Roman" w:hAnsi="Times New Roman" w:cs="Times New Roman"/>
          <w:sz w:val="24"/>
          <w:szCs w:val="24"/>
        </w:rPr>
        <w:t xml:space="preserve"> </w:t>
      </w:r>
      <w:r w:rsidR="00C04B23">
        <w:rPr>
          <w:rFonts w:ascii="Times New Roman" w:hAnsi="Times New Roman" w:cs="Times New Roman"/>
          <w:sz w:val="24"/>
          <w:szCs w:val="24"/>
        </w:rPr>
        <w:t>(data from 2011 and</w:t>
      </w:r>
      <w:r w:rsidR="00582C44" w:rsidRPr="001A3E6C">
        <w:rPr>
          <w:rFonts w:ascii="Times New Roman" w:hAnsi="Times New Roman" w:cs="Times New Roman"/>
          <w:sz w:val="24"/>
          <w:szCs w:val="24"/>
        </w:rPr>
        <w:t xml:space="preserve"> 2015</w:t>
      </w:r>
      <w:r w:rsidR="00C04B23">
        <w:rPr>
          <w:rFonts w:ascii="Times New Roman" w:hAnsi="Times New Roman" w:cs="Times New Roman"/>
          <w:sz w:val="24"/>
          <w:szCs w:val="24"/>
        </w:rPr>
        <w:t>)</w:t>
      </w:r>
      <w:r w:rsidR="00582C44" w:rsidRPr="001A3E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6728A" w14:textId="77777777" w:rsidR="00582C44" w:rsidRPr="001A3E6C" w:rsidRDefault="00582C44" w:rsidP="00582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3E6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6C19834" wp14:editId="5BF8E2B9">
            <wp:extent cx="592455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85194E" w14:textId="6A82CD12" w:rsidR="00582C44" w:rsidRDefault="00C04B23" w:rsidP="00582C44">
      <w:pPr>
        <w:spacing w:after="120"/>
        <w:jc w:val="both"/>
        <w:rPr>
          <w:rFonts w:ascii="Times New Roman" w:hAnsi="Times New Roman" w:cs="Times New Roman"/>
        </w:rPr>
      </w:pPr>
      <w:r w:rsidRPr="00F31D7D">
        <w:rPr>
          <w:rFonts w:ascii="Times New Roman" w:hAnsi="Times New Roman" w:cs="Times New Roman"/>
          <w:b/>
        </w:rPr>
        <w:t>Sources</w:t>
      </w:r>
      <w:r w:rsidR="00582C44" w:rsidRPr="00F31D7D">
        <w:rPr>
          <w:rFonts w:ascii="Times New Roman" w:hAnsi="Times New Roman" w:cs="Times New Roman"/>
          <w:b/>
        </w:rPr>
        <w:t xml:space="preserve">: </w:t>
      </w:r>
      <w:r w:rsidR="00F31D7D" w:rsidRPr="00F31D7D">
        <w:rPr>
          <w:rFonts w:ascii="Times New Roman" w:hAnsi="Times New Roman" w:cs="Times New Roman"/>
        </w:rPr>
        <w:t>Population and Housing</w:t>
      </w:r>
      <w:r w:rsidR="00F31D7D">
        <w:rPr>
          <w:rFonts w:ascii="Times New Roman" w:hAnsi="Times New Roman" w:cs="Times New Roman"/>
          <w:b/>
        </w:rPr>
        <w:t xml:space="preserve"> </w:t>
      </w:r>
      <w:r w:rsidRPr="00F31D7D">
        <w:rPr>
          <w:rFonts w:ascii="Times New Roman" w:hAnsi="Times New Roman" w:cs="Times New Roman"/>
        </w:rPr>
        <w:t>Census 2</w:t>
      </w:r>
      <w:r w:rsidR="00582C44" w:rsidRPr="00F31D7D">
        <w:rPr>
          <w:rFonts w:ascii="Times New Roman" w:hAnsi="Times New Roman" w:cs="Times New Roman"/>
        </w:rPr>
        <w:t>011 (</w:t>
      </w:r>
      <w:r w:rsidRPr="00F31D7D">
        <w:rPr>
          <w:rFonts w:ascii="Times New Roman" w:hAnsi="Times New Roman" w:cs="Times New Roman"/>
        </w:rPr>
        <w:t>Statistics Lithuania</w:t>
      </w:r>
      <w:r w:rsidR="00F31D7D" w:rsidRPr="00F31D7D">
        <w:rPr>
          <w:rFonts w:ascii="Times New Roman" w:hAnsi="Times New Roman" w:cs="Times New Roman"/>
        </w:rPr>
        <w:t>,</w:t>
      </w:r>
      <w:r w:rsidR="00582C44" w:rsidRPr="00F31D7D">
        <w:rPr>
          <w:rFonts w:ascii="Times New Roman" w:hAnsi="Times New Roman" w:cs="Times New Roman"/>
        </w:rPr>
        <w:t xml:space="preserve"> 2013) </w:t>
      </w:r>
      <w:r w:rsidRPr="00F31D7D">
        <w:rPr>
          <w:rFonts w:ascii="Times New Roman" w:hAnsi="Times New Roman" w:cs="Times New Roman"/>
        </w:rPr>
        <w:t xml:space="preserve">and </w:t>
      </w:r>
      <w:r w:rsidR="007C36EB" w:rsidRPr="00F31D7D">
        <w:rPr>
          <w:rFonts w:ascii="Times New Roman" w:hAnsi="Times New Roman" w:cs="Times New Roman"/>
        </w:rPr>
        <w:t xml:space="preserve">Roma </w:t>
      </w:r>
      <w:r w:rsidRPr="00F31D7D">
        <w:rPr>
          <w:rFonts w:ascii="Times New Roman" w:hAnsi="Times New Roman" w:cs="Times New Roman"/>
        </w:rPr>
        <w:t>Survey</w:t>
      </w:r>
      <w:r w:rsidR="00582C44" w:rsidRPr="00F31D7D">
        <w:rPr>
          <w:rFonts w:ascii="Times New Roman" w:hAnsi="Times New Roman" w:cs="Times New Roman"/>
        </w:rPr>
        <w:t xml:space="preserve"> 2015.</w:t>
      </w:r>
    </w:p>
    <w:p w14:paraId="0E28CB3C" w14:textId="668929E5" w:rsidR="00E83BFD" w:rsidRDefault="00C6361E" w:rsidP="00582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Meanwhile</w:t>
      </w:r>
      <w:r w:rsidR="00F31D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gender distribution deviates from the gender structure of Roma </w:t>
      </w:r>
      <w:r w:rsidR="001251B3">
        <w:rPr>
          <w:rFonts w:ascii="Times New Roman" w:hAnsi="Times New Roman" w:cs="Times New Roman"/>
          <w:sz w:val="24"/>
          <w:szCs w:val="24"/>
        </w:rPr>
        <w:t>population</w:t>
      </w:r>
      <w:r>
        <w:rPr>
          <w:rFonts w:ascii="Times New Roman" w:hAnsi="Times New Roman" w:cs="Times New Roman"/>
          <w:sz w:val="24"/>
          <w:szCs w:val="24"/>
        </w:rPr>
        <w:t xml:space="preserve"> established by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2011 </w:t>
      </w:r>
      <w:r w:rsidR="001251B3">
        <w:rPr>
          <w:rFonts w:ascii="Times New Roman" w:hAnsi="Times New Roman" w:cs="Times New Roman"/>
          <w:sz w:val="24"/>
          <w:szCs w:val="24"/>
          <w:lang w:val="en-US"/>
        </w:rPr>
        <w:t>Population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ensus. The present survey </w:t>
      </w:r>
      <w:r w:rsidR="001251B3">
        <w:rPr>
          <w:rFonts w:ascii="Times New Roman" w:hAnsi="Times New Roman" w:cs="Times New Roman"/>
          <w:sz w:val="24"/>
          <w:szCs w:val="24"/>
          <w:lang w:val="en-US"/>
        </w:rPr>
        <w:t>found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fewer men than in 2011 (44% in 2015 and 47% in 2011)</w:t>
      </w:r>
      <w:r w:rsidR="00127783">
        <w:rPr>
          <w:rFonts w:ascii="Times New Roman" w:hAnsi="Times New Roman" w:cs="Times New Roman"/>
          <w:sz w:val="24"/>
          <w:szCs w:val="24"/>
        </w:rPr>
        <w:t>.</w:t>
      </w:r>
    </w:p>
    <w:p w14:paraId="4E09870D" w14:textId="0A0AAD2F" w:rsidR="00582C44" w:rsidRPr="00D42BEC" w:rsidRDefault="00A85998" w:rsidP="005943B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differences in education data, too: the present survey has found a </w:t>
      </w:r>
      <w:r w:rsidR="00F31D7D" w:rsidRPr="00F31D7D">
        <w:rPr>
          <w:rFonts w:ascii="Times New Roman" w:hAnsi="Times New Roman" w:cs="Times New Roman"/>
          <w:sz w:val="24"/>
          <w:szCs w:val="24"/>
        </w:rPr>
        <w:t>higher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408"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7A0408">
        <w:rPr>
          <w:rFonts w:ascii="Times New Roman" w:hAnsi="Times New Roman" w:cs="Times New Roman"/>
          <w:sz w:val="24"/>
          <w:szCs w:val="24"/>
        </w:rPr>
        <w:t>early leaver</w:t>
      </w:r>
      <w:r>
        <w:rPr>
          <w:rFonts w:ascii="Times New Roman" w:hAnsi="Times New Roman" w:cs="Times New Roman"/>
          <w:sz w:val="24"/>
          <w:szCs w:val="24"/>
        </w:rPr>
        <w:t>s from primary school and illiterate persons (</w:t>
      </w:r>
      <w:r>
        <w:rPr>
          <w:rFonts w:ascii="Times New Roman" w:hAnsi="Times New Roman" w:cs="Times New Roman"/>
          <w:sz w:val="24"/>
          <w:szCs w:val="24"/>
          <w:lang w:val="en-US"/>
        </w:rPr>
        <w:t>24%</w:t>
      </w:r>
      <w:r w:rsidR="004312CE">
        <w:rPr>
          <w:rFonts w:ascii="Times New Roman" w:hAnsi="Times New Roman" w:cs="Times New Roman"/>
          <w:sz w:val="24"/>
          <w:szCs w:val="24"/>
          <w:lang w:val="en-US"/>
        </w:rPr>
        <w:t xml:space="preserve"> in 2015 and 10% in 2011), and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D7D">
        <w:rPr>
          <w:rFonts w:ascii="Times New Roman" w:hAnsi="Times New Roman" w:cs="Times New Roman"/>
          <w:sz w:val="24"/>
          <w:szCs w:val="24"/>
          <w:lang w:val="en-US"/>
        </w:rPr>
        <w:t>lower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408">
        <w:rPr>
          <w:rFonts w:ascii="Times New Roman" w:hAnsi="Times New Roman" w:cs="Times New Roman"/>
          <w:sz w:val="24"/>
          <w:szCs w:val="24"/>
          <w:lang w:val="en-US"/>
        </w:rPr>
        <w:t>percentage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basic school and </w:t>
      </w:r>
      <w:r w:rsidR="004312CE">
        <w:rPr>
          <w:rFonts w:ascii="Times New Roman" w:hAnsi="Times New Roman" w:cs="Times New Roman"/>
          <w:sz w:val="24"/>
          <w:szCs w:val="24"/>
          <w:lang w:val="en-US"/>
        </w:rPr>
        <w:t>college graduates (</w:t>
      </w:r>
      <w:r w:rsidR="004312CE">
        <w:rPr>
          <w:rFonts w:ascii="Times New Roman" w:hAnsi="Times New Roman" w:cs="Times New Roman"/>
          <w:sz w:val="24"/>
          <w:szCs w:val="24"/>
        </w:rPr>
        <w:t>32% in 2015 and 49% in 2011) (Fig. 2). These diffrence</w:t>
      </w:r>
      <w:r w:rsidR="007A0408">
        <w:rPr>
          <w:rFonts w:ascii="Times New Roman" w:hAnsi="Times New Roman" w:cs="Times New Roman"/>
          <w:sz w:val="24"/>
          <w:szCs w:val="24"/>
        </w:rPr>
        <w:t>s</w:t>
      </w:r>
      <w:r w:rsidR="004312CE">
        <w:rPr>
          <w:rFonts w:ascii="Times New Roman" w:hAnsi="Times New Roman" w:cs="Times New Roman"/>
          <w:sz w:val="24"/>
          <w:szCs w:val="24"/>
        </w:rPr>
        <w:t xml:space="preserve"> may have been determi</w:t>
      </w:r>
      <w:r w:rsidR="00F31D7D">
        <w:rPr>
          <w:rFonts w:ascii="Times New Roman" w:hAnsi="Times New Roman" w:cs="Times New Roman"/>
          <w:sz w:val="24"/>
          <w:szCs w:val="24"/>
        </w:rPr>
        <w:t>ne</w:t>
      </w:r>
      <w:r w:rsidR="004312CE">
        <w:rPr>
          <w:rFonts w:ascii="Times New Roman" w:hAnsi="Times New Roman" w:cs="Times New Roman"/>
          <w:sz w:val="24"/>
          <w:szCs w:val="24"/>
        </w:rPr>
        <w:t xml:space="preserve">d by a number of factors: </w:t>
      </w:r>
      <w:r w:rsidR="00582C44">
        <w:rPr>
          <w:rFonts w:ascii="Times New Roman" w:hAnsi="Times New Roman" w:cs="Times New Roman"/>
          <w:sz w:val="24"/>
          <w:szCs w:val="24"/>
        </w:rPr>
        <w:t xml:space="preserve">1) </w:t>
      </w:r>
      <w:r w:rsidR="004312CE">
        <w:rPr>
          <w:rFonts w:ascii="Times New Roman" w:hAnsi="Times New Roman" w:cs="Times New Roman"/>
          <w:sz w:val="24"/>
          <w:szCs w:val="24"/>
        </w:rPr>
        <w:t xml:space="preserve">the sampling methods used in the survey failed to reach more educated Roma people as a result of which their representation in the </w:t>
      </w:r>
      <w:r w:rsidR="007A0408">
        <w:rPr>
          <w:rFonts w:ascii="Times New Roman" w:hAnsi="Times New Roman" w:cs="Times New Roman"/>
          <w:sz w:val="24"/>
          <w:szCs w:val="24"/>
        </w:rPr>
        <w:t>sample</w:t>
      </w:r>
      <w:r w:rsidR="004312CE">
        <w:rPr>
          <w:rFonts w:ascii="Times New Roman" w:hAnsi="Times New Roman" w:cs="Times New Roman"/>
          <w:sz w:val="24"/>
          <w:szCs w:val="24"/>
        </w:rPr>
        <w:t xml:space="preserve"> was not proportionate; 2) more educated Roma were not available</w:t>
      </w:r>
      <w:r w:rsidR="00F31D7D">
        <w:rPr>
          <w:rFonts w:ascii="Times New Roman" w:hAnsi="Times New Roman" w:cs="Times New Roman"/>
          <w:sz w:val="24"/>
          <w:szCs w:val="24"/>
        </w:rPr>
        <w:t xml:space="preserve"> for the survey</w:t>
      </w:r>
      <w:r w:rsidR="00F31D7D" w:rsidRPr="00F31D7D">
        <w:rPr>
          <w:rFonts w:ascii="Times New Roman" w:hAnsi="Times New Roman" w:cs="Times New Roman"/>
          <w:b/>
        </w:rPr>
        <w:t xml:space="preserve"> </w:t>
      </w:r>
      <w:r w:rsidR="00E754F6">
        <w:rPr>
          <w:rFonts w:ascii="Times New Roman" w:hAnsi="Times New Roman" w:cs="Times New Roman"/>
          <w:sz w:val="24"/>
          <w:szCs w:val="24"/>
        </w:rPr>
        <w:t xml:space="preserve"> </w:t>
      </w:r>
      <w:r w:rsidR="00E754F6">
        <w:rPr>
          <w:rFonts w:ascii="Times New Roman" w:hAnsi="Times New Roman" w:cs="Times New Roman"/>
          <w:sz w:val="24"/>
          <w:szCs w:val="24"/>
        </w:rPr>
        <w:lastRenderedPageBreak/>
        <w:t xml:space="preserve">because </w:t>
      </w:r>
      <w:r w:rsidR="005444E6">
        <w:rPr>
          <w:rFonts w:ascii="Times New Roman" w:hAnsi="Times New Roman" w:cs="Times New Roman"/>
          <w:sz w:val="24"/>
          <w:szCs w:val="24"/>
        </w:rPr>
        <w:t xml:space="preserve">they </w:t>
      </w:r>
      <w:r w:rsidR="005444E6" w:rsidRPr="00F7498B">
        <w:rPr>
          <w:rFonts w:ascii="Times New Roman" w:hAnsi="Times New Roman" w:cs="Times New Roman"/>
          <w:sz w:val="24"/>
          <w:szCs w:val="24"/>
        </w:rPr>
        <w:t>migrated</w:t>
      </w:r>
      <w:r w:rsidR="005444E6">
        <w:rPr>
          <w:rFonts w:ascii="Times New Roman" w:hAnsi="Times New Roman" w:cs="Times New Roman"/>
          <w:sz w:val="24"/>
          <w:szCs w:val="24"/>
        </w:rPr>
        <w:t xml:space="preserve"> </w:t>
      </w:r>
      <w:r w:rsidR="00E754F6">
        <w:rPr>
          <w:rFonts w:ascii="Times New Roman" w:hAnsi="Times New Roman" w:cs="Times New Roman"/>
          <w:sz w:val="24"/>
          <w:szCs w:val="24"/>
        </w:rPr>
        <w:t xml:space="preserve">from Lithuania (Roma migration is above the national average); </w:t>
      </w:r>
      <w:r w:rsidR="00582C44">
        <w:rPr>
          <w:rFonts w:ascii="Times New Roman" w:hAnsi="Times New Roman" w:cs="Times New Roman"/>
          <w:sz w:val="24"/>
          <w:szCs w:val="24"/>
        </w:rPr>
        <w:t xml:space="preserve">3) </w:t>
      </w:r>
      <w:r w:rsidR="00E754F6">
        <w:rPr>
          <w:rFonts w:ascii="Times New Roman" w:hAnsi="Times New Roman" w:cs="Times New Roman"/>
          <w:sz w:val="24"/>
          <w:szCs w:val="24"/>
        </w:rPr>
        <w:t>part of the more educated Roma chose the strategy of assimilation and no longer identify themselves as Roma, thus making thems</w:t>
      </w:r>
      <w:r w:rsidR="007A0408">
        <w:rPr>
          <w:rFonts w:ascii="Times New Roman" w:hAnsi="Times New Roman" w:cs="Times New Roman"/>
          <w:sz w:val="24"/>
          <w:szCs w:val="24"/>
        </w:rPr>
        <w:t>e</w:t>
      </w:r>
      <w:r w:rsidR="00E754F6">
        <w:rPr>
          <w:rFonts w:ascii="Times New Roman" w:hAnsi="Times New Roman" w:cs="Times New Roman"/>
          <w:sz w:val="24"/>
          <w:szCs w:val="24"/>
        </w:rPr>
        <w:t xml:space="preserve">lves unavailable for the survey. </w:t>
      </w:r>
    </w:p>
    <w:p w14:paraId="5E8ED7C9" w14:textId="6665BBD3" w:rsidR="00582C44" w:rsidRDefault="00E754F6" w:rsidP="00594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82C44">
        <w:rPr>
          <w:rFonts w:ascii="Times New Roman" w:hAnsi="Times New Roman" w:cs="Times New Roman"/>
          <w:b/>
          <w:sz w:val="24"/>
          <w:szCs w:val="24"/>
        </w:rPr>
        <w:t>2</w:t>
      </w:r>
      <w:r w:rsidR="00582C44" w:rsidRPr="001A3E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Roma Education</w:t>
      </w:r>
      <w:r w:rsidR="00B0022A">
        <w:rPr>
          <w:rFonts w:ascii="Times New Roman" w:hAnsi="Times New Roman" w:cs="Times New Roman"/>
          <w:sz w:val="24"/>
          <w:szCs w:val="24"/>
        </w:rPr>
        <w:t xml:space="preserve"> Indicators</w:t>
      </w:r>
      <w:r>
        <w:rPr>
          <w:rFonts w:ascii="Times New Roman" w:hAnsi="Times New Roman" w:cs="Times New Roman"/>
          <w:sz w:val="24"/>
          <w:szCs w:val="24"/>
        </w:rPr>
        <w:t>, %</w:t>
      </w:r>
      <w:r w:rsidR="00582C44" w:rsidRPr="001A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(data from 2011 and</w:t>
      </w:r>
      <w:r w:rsidR="00582C44" w:rsidRPr="001A3E6C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F92099" w14:textId="77777777" w:rsidR="00582C44" w:rsidRDefault="00CC7BC4" w:rsidP="00594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7BC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61EB942" wp14:editId="13B601F4">
            <wp:extent cx="5646420" cy="2708910"/>
            <wp:effectExtent l="19050" t="0" r="1143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FEB28F" w14:textId="2293945E" w:rsidR="00D42BEC" w:rsidRPr="00D42BEC" w:rsidRDefault="00D42BEC" w:rsidP="00F31D7D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2BEC">
        <w:rPr>
          <w:rFonts w:ascii="Times New Roman" w:hAnsi="Times New Roman" w:cs="Times New Roman"/>
          <w:i/>
          <w:sz w:val="20"/>
          <w:szCs w:val="20"/>
        </w:rPr>
        <w:t>[Starting from the top: Higher Education. College and Special Secondary Education. Upper Secondary Education. Basic Education. Primary Education. Early Leavers from Primary School.]</w:t>
      </w:r>
    </w:p>
    <w:p w14:paraId="43E807D0" w14:textId="77777777" w:rsidR="00F31D7D" w:rsidRDefault="00F31D7D" w:rsidP="00F31D7D">
      <w:pPr>
        <w:spacing w:after="120"/>
        <w:jc w:val="both"/>
        <w:rPr>
          <w:rFonts w:ascii="Times New Roman" w:hAnsi="Times New Roman" w:cs="Times New Roman"/>
        </w:rPr>
      </w:pPr>
      <w:r w:rsidRPr="00F31D7D">
        <w:rPr>
          <w:rFonts w:ascii="Times New Roman" w:hAnsi="Times New Roman" w:cs="Times New Roman"/>
          <w:b/>
        </w:rPr>
        <w:t xml:space="preserve">Sources: </w:t>
      </w:r>
      <w:r w:rsidRPr="00F31D7D">
        <w:rPr>
          <w:rFonts w:ascii="Times New Roman" w:hAnsi="Times New Roman" w:cs="Times New Roman"/>
        </w:rPr>
        <w:t>Population and Housing</w:t>
      </w:r>
      <w:r>
        <w:rPr>
          <w:rFonts w:ascii="Times New Roman" w:hAnsi="Times New Roman" w:cs="Times New Roman"/>
          <w:b/>
        </w:rPr>
        <w:t xml:space="preserve"> </w:t>
      </w:r>
      <w:r w:rsidRPr="00F31D7D">
        <w:rPr>
          <w:rFonts w:ascii="Times New Roman" w:hAnsi="Times New Roman" w:cs="Times New Roman"/>
        </w:rPr>
        <w:t>Census 2011 (Statistics Lithuania, 2013) and Roma Survey 2015.</w:t>
      </w:r>
    </w:p>
    <w:p w14:paraId="3CF4E205" w14:textId="77777777" w:rsidR="00582C44" w:rsidRDefault="00582C44" w:rsidP="00594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AFCEDE8" w14:textId="152831CD" w:rsidR="00CC7BC4" w:rsidRDefault="00827A0D" w:rsidP="00CC7B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passing onto the comprehensive (not descriptive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!) </w:t>
      </w:r>
      <w:r w:rsidR="00CB2E8B">
        <w:rPr>
          <w:rFonts w:ascii="Times New Roman" w:hAnsi="Times New Roman" w:cs="Times New Roman"/>
          <w:sz w:val="24"/>
          <w:szCs w:val="24"/>
          <w:lang w:val="en-US"/>
        </w:rPr>
        <w:t>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survey results, the data </w:t>
      </w:r>
      <w:r w:rsidRPr="00CB2E8B">
        <w:rPr>
          <w:rFonts w:ascii="Times New Roman" w:hAnsi="Times New Roman" w:cs="Times New Roman"/>
          <w:sz w:val="24"/>
          <w:szCs w:val="24"/>
          <w:lang w:val="en-US"/>
        </w:rPr>
        <w:t xml:space="preserve">should be weighted and </w:t>
      </w:r>
      <w:r w:rsidR="00CB2E8B" w:rsidRPr="00CB2E8B">
        <w:rPr>
          <w:rFonts w:ascii="Times New Roman" w:hAnsi="Times New Roman" w:cs="Times New Roman"/>
          <w:sz w:val="24"/>
          <w:szCs w:val="24"/>
          <w:lang w:val="en-US"/>
        </w:rPr>
        <w:t xml:space="preserve">inaccuracies of the sample related to the </w:t>
      </w:r>
      <w:r w:rsidR="008749F3" w:rsidRPr="00CB2E8B">
        <w:rPr>
          <w:rFonts w:ascii="Times New Roman" w:hAnsi="Times New Roman" w:cs="Times New Roman"/>
          <w:sz w:val="24"/>
          <w:szCs w:val="24"/>
          <w:lang w:val="en-US"/>
        </w:rPr>
        <w:t>selection method should be evaluated</w:t>
      </w:r>
      <w:r w:rsidR="00582C44" w:rsidRPr="00CB2E8B">
        <w:rPr>
          <w:rFonts w:ascii="Times New Roman" w:hAnsi="Times New Roman" w:cs="Times New Roman"/>
          <w:sz w:val="24"/>
          <w:szCs w:val="24"/>
        </w:rPr>
        <w:t>.</w:t>
      </w:r>
      <w:r w:rsidR="00582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BB383" w14:textId="77777777" w:rsidR="00CB2E8B" w:rsidRDefault="00CB2E8B" w:rsidP="00CC7B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43FBFAA" w14:textId="0D52EE94" w:rsidR="000E4F36" w:rsidRPr="001A3E6C" w:rsidRDefault="008749F3" w:rsidP="00CC7BC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Geographical distribution</w:t>
      </w:r>
      <w:r w:rsidR="00207C34" w:rsidRPr="001A3E6C">
        <w:rPr>
          <w:rFonts w:ascii="Times New Roman" w:hAnsi="Times New Roman" w:cs="Times New Roman"/>
          <w:sz w:val="24"/>
          <w:szCs w:val="24"/>
        </w:rPr>
        <w:t>.</w:t>
      </w:r>
      <w:r w:rsidR="002E690C" w:rsidRPr="001A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Seeking to ensure adequate representation, the survey was conducted in fourteen residential locations of Roma </w:t>
      </w:r>
      <w:r w:rsidR="007A2FC3" w:rsidRPr="001A3E6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Table 1</w:t>
      </w:r>
      <w:r w:rsidR="007A2FC3" w:rsidRPr="001A3E6C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690C" w:rsidRPr="001A3E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408">
        <w:rPr>
          <w:rFonts w:ascii="Times New Roman" w:eastAsia="Times New Roman" w:hAnsi="Times New Roman" w:cs="Times New Roman"/>
          <w:sz w:val="24"/>
          <w:szCs w:val="24"/>
        </w:rPr>
        <w:t>The sampling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based on the data from the </w:t>
      </w:r>
      <w:r w:rsidRPr="00CB2E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2011 </w:t>
      </w:r>
      <w:r w:rsidR="007A0408" w:rsidRPr="00CB2E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Population </w:t>
      </w:r>
      <w:r w:rsidRPr="00CB2E8B">
        <w:rPr>
          <w:rFonts w:ascii="Times New Roman" w:eastAsia="Times New Roman" w:hAnsi="Times New Roman" w:cs="Times New Roman"/>
          <w:sz w:val="24"/>
          <w:szCs w:val="24"/>
          <w:lang w:val="en-US"/>
        </w:rPr>
        <w:t>Census, and the selected geographical locations enabled to reach 80% of Roma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population in Lithuania. To be selected for the survey, at least 2% of the total Roma population </w:t>
      </w:r>
      <w:r w:rsidR="00724DB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C060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Lithuania (i.e. at least 40 Roma) </w:t>
      </w:r>
      <w:r w:rsidR="00A418B8">
        <w:rPr>
          <w:rFonts w:ascii="Times New Roman" w:eastAsia="Times New Roman" w:hAnsi="Times New Roman" w:cs="Times New Roman"/>
          <w:sz w:val="24"/>
          <w:szCs w:val="24"/>
          <w:lang w:val="en-US"/>
        </w:rPr>
        <w:t>must reside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 particular geographical location</w:t>
      </w:r>
      <w:r w:rsidR="00A418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746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economic efficiency criteria were also taken into account (i.e. time required and possibility to reach </w:t>
      </w:r>
      <w:r w:rsidR="00620892">
        <w:rPr>
          <w:rFonts w:ascii="Times New Roman" w:eastAsia="Times New Roman" w:hAnsi="Times New Roman" w:cs="Times New Roman"/>
          <w:sz w:val="24"/>
          <w:szCs w:val="24"/>
          <w:lang w:val="en-US"/>
        </w:rPr>
        <w:t>Roma</w:t>
      </w:r>
      <w:r w:rsidR="0074637C">
        <w:rPr>
          <w:rFonts w:ascii="Times New Roman" w:eastAsia="Times New Roman" w:hAnsi="Times New Roman" w:cs="Times New Roman"/>
          <w:sz w:val="24"/>
          <w:szCs w:val="24"/>
          <w:lang w:val="en-US"/>
        </w:rPr>
        <w:t>, etc.)</w:t>
      </w:r>
      <w:r w:rsidR="007A2FC3" w:rsidRPr="001A3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A8A330" w14:textId="32F2DACA" w:rsidR="00322351" w:rsidRPr="001A3E6C" w:rsidRDefault="0074637C" w:rsidP="005943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number of individuals surveyed exceeded the minimum target number in most of the locations selected. There were, however, a few locations in Kaunas, city, in Šiauliai city and </w:t>
      </w:r>
      <w:r w:rsidR="00D5635D">
        <w:rPr>
          <w:rFonts w:ascii="Times New Roman" w:eastAsia="Times New Roman" w:hAnsi="Times New Roman" w:cs="Times New Roman"/>
          <w:sz w:val="24"/>
          <w:szCs w:val="24"/>
        </w:rPr>
        <w:t>district were the minumum target was not reached for objective reasons.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895EC0" w14:textId="40121877" w:rsidR="005943B5" w:rsidRPr="001A3E6C" w:rsidRDefault="00D5635D" w:rsidP="005943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the survey in Kaunas it tur</w:t>
      </w:r>
      <w:r w:rsidR="00C2025B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d out that it was difficult to reach Roma through conventional c</w:t>
      </w:r>
      <w:r w:rsidR="00C060ED">
        <w:rPr>
          <w:rFonts w:ascii="Times New Roman" w:eastAsia="Times New Roman" w:hAnsi="Times New Roman" w:cs="Times New Roman"/>
          <w:sz w:val="24"/>
          <w:szCs w:val="24"/>
        </w:rPr>
        <w:t xml:space="preserve">ontact points (schools and subdistrict </w:t>
      </w:r>
      <w:r w:rsidR="009639F0">
        <w:rPr>
          <w:rFonts w:ascii="Times New Roman" w:eastAsia="Times New Roman" w:hAnsi="Times New Roman" w:cs="Times New Roman"/>
          <w:sz w:val="24"/>
          <w:szCs w:val="24"/>
        </w:rPr>
        <w:t>offices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social workers, leaders of the Roma community); </w:t>
      </w:r>
      <w:r w:rsidR="00C2025B"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 </w:t>
      </w:r>
      <w:r w:rsidR="00A22CAC">
        <w:rPr>
          <w:rFonts w:ascii="Times New Roman" w:eastAsia="Times New Roman" w:hAnsi="Times New Roman" w:cs="Times New Roman"/>
          <w:sz w:val="24"/>
          <w:szCs w:val="24"/>
        </w:rPr>
        <w:t xml:space="preserve">mediation, where Roma were first contacted by </w:t>
      </w:r>
      <w:r w:rsidR="00CB41DC">
        <w:rPr>
          <w:rFonts w:ascii="Times New Roman" w:eastAsia="Times New Roman" w:hAnsi="Times New Roman" w:cs="Times New Roman"/>
          <w:sz w:val="24"/>
          <w:szCs w:val="24"/>
        </w:rPr>
        <w:t>people who already worked with them</w:t>
      </w:r>
      <w:r w:rsidR="00A22CAC">
        <w:rPr>
          <w:rFonts w:ascii="Times New Roman" w:eastAsia="Times New Roman" w:hAnsi="Times New Roman" w:cs="Times New Roman"/>
          <w:sz w:val="24"/>
          <w:szCs w:val="24"/>
        </w:rPr>
        <w:t xml:space="preserve"> was possible in very few cases only</w:t>
      </w:r>
      <w:r w:rsidR="00A22CAC" w:rsidRPr="00CB41DC">
        <w:rPr>
          <w:rFonts w:ascii="Times New Roman" w:eastAsia="Times New Roman" w:hAnsi="Times New Roman" w:cs="Times New Roman"/>
          <w:sz w:val="24"/>
          <w:szCs w:val="24"/>
        </w:rPr>
        <w:t xml:space="preserve">. In some schools, where the Ministry of Education and Science reports </w:t>
      </w:r>
      <w:r w:rsidR="00CB41DC" w:rsidRPr="00CB41DC">
        <w:rPr>
          <w:rFonts w:ascii="Times New Roman" w:eastAsia="Times New Roman" w:hAnsi="Times New Roman" w:cs="Times New Roman"/>
          <w:sz w:val="24"/>
          <w:szCs w:val="24"/>
        </w:rPr>
        <w:t xml:space="preserve">Roma </w:t>
      </w:r>
      <w:r w:rsidR="00A22CAC" w:rsidRPr="00CB41DC">
        <w:rPr>
          <w:rFonts w:ascii="Times New Roman" w:eastAsia="Times New Roman" w:hAnsi="Times New Roman" w:cs="Times New Roman"/>
          <w:sz w:val="24"/>
          <w:szCs w:val="24"/>
        </w:rPr>
        <w:t>pupils, such p</w:t>
      </w:r>
      <w:r w:rsidR="00A22CAC">
        <w:rPr>
          <w:rFonts w:ascii="Times New Roman" w:eastAsia="Times New Roman" w:hAnsi="Times New Roman" w:cs="Times New Roman"/>
          <w:sz w:val="24"/>
          <w:szCs w:val="24"/>
        </w:rPr>
        <w:t xml:space="preserve">upils were not found during the survey. Moreover, in Kaunas </w:t>
      </w:r>
      <w:r w:rsidR="00CB41DC">
        <w:rPr>
          <w:rFonts w:ascii="Times New Roman" w:eastAsia="Times New Roman" w:hAnsi="Times New Roman" w:cs="Times New Roman"/>
          <w:sz w:val="24"/>
          <w:szCs w:val="24"/>
        </w:rPr>
        <w:t xml:space="preserve">Roma </w:t>
      </w:r>
      <w:r w:rsidR="00CB41DC">
        <w:rPr>
          <w:rFonts w:ascii="Times New Roman" w:eastAsia="Times New Roman" w:hAnsi="Times New Roman" w:cs="Times New Roman"/>
          <w:sz w:val="24"/>
          <w:szCs w:val="24"/>
        </w:rPr>
        <w:lastRenderedPageBreak/>
        <w:t>people</w:t>
      </w:r>
      <w:r w:rsidR="00A22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CCF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BD684C">
        <w:rPr>
          <w:rFonts w:ascii="Times New Roman" w:eastAsia="Times New Roman" w:hAnsi="Times New Roman" w:cs="Times New Roman"/>
          <w:sz w:val="24"/>
          <w:szCs w:val="24"/>
        </w:rPr>
        <w:t>seldom assig</w:t>
      </w:r>
      <w:r w:rsidR="00C07658">
        <w:rPr>
          <w:rFonts w:ascii="Times New Roman" w:eastAsia="Times New Roman" w:hAnsi="Times New Roman" w:cs="Times New Roman"/>
          <w:sz w:val="24"/>
          <w:szCs w:val="24"/>
        </w:rPr>
        <w:t>ne</w:t>
      </w:r>
      <w:r w:rsidR="00BD684C">
        <w:rPr>
          <w:rFonts w:ascii="Times New Roman" w:eastAsia="Times New Roman" w:hAnsi="Times New Roman" w:cs="Times New Roman"/>
          <w:sz w:val="24"/>
          <w:szCs w:val="24"/>
        </w:rPr>
        <w:t xml:space="preserve">d to the group of social risk families, and there are no non-governmental organisations of Roma in Kaunas. The survey in Kaunas lasted for </w:t>
      </w:r>
      <w:r w:rsidR="00BD68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days; 8 households </w:t>
      </w:r>
      <w:r w:rsidR="00CB41DC">
        <w:rPr>
          <w:rFonts w:ascii="Times New Roman" w:eastAsia="Times New Roman" w:hAnsi="Times New Roman" w:cs="Times New Roman"/>
          <w:sz w:val="24"/>
          <w:szCs w:val="24"/>
          <w:lang w:val="en-US"/>
        </w:rPr>
        <w:t>with the total of</w:t>
      </w:r>
      <w:r w:rsidR="00BD68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32 </w:t>
      </w:r>
      <w:r w:rsidR="00CB41DC">
        <w:rPr>
          <w:rFonts w:ascii="Times New Roman" w:eastAsia="Times New Roman" w:hAnsi="Times New Roman" w:cs="Times New Roman"/>
          <w:sz w:val="24"/>
          <w:szCs w:val="24"/>
          <w:lang w:val="en-US"/>
        </w:rPr>
        <w:t>members</w:t>
      </w:r>
      <w:r w:rsidR="00BD68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were surveyed (surveyors contacted 9 households, but o</w:t>
      </w:r>
      <w:r w:rsidR="00CB41DC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r w:rsidR="00BD68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household refused to participate in the survey). </w:t>
      </w:r>
    </w:p>
    <w:p w14:paraId="5D04BE65" w14:textId="666BAF42" w:rsidR="00322351" w:rsidRPr="001A3E6C" w:rsidRDefault="00706FEE" w:rsidP="005943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day of the survey in Šiauliai city and district majority of the Roma people could not be reached as they attended a fu</w:t>
      </w:r>
      <w:r w:rsidR="00CB41DC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ral. The surveyors were able to interview only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households with 6 residents, most </w:t>
      </w:r>
      <w:r w:rsidR="00F1075F">
        <w:rPr>
          <w:rFonts w:ascii="Times New Roman" w:eastAsia="Times New Roman" w:hAnsi="Times New Roman" w:cs="Times New Roman"/>
          <w:sz w:val="24"/>
          <w:szCs w:val="24"/>
          <w:lang w:val="en-US"/>
        </w:rPr>
        <w:t>of them elderly people.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75F">
        <w:rPr>
          <w:rFonts w:ascii="Times New Roman" w:eastAsia="Times New Roman" w:hAnsi="Times New Roman" w:cs="Times New Roman"/>
          <w:sz w:val="24"/>
          <w:szCs w:val="24"/>
        </w:rPr>
        <w:t xml:space="preserve">A possibility of another visit was considered, but it was difficult to ensure the sufficient number of respondents </w:t>
      </w:r>
      <w:r w:rsidR="00CB41DC">
        <w:rPr>
          <w:rFonts w:ascii="Times New Roman" w:eastAsia="Times New Roman" w:hAnsi="Times New Roman" w:cs="Times New Roman"/>
          <w:sz w:val="24"/>
          <w:szCs w:val="24"/>
        </w:rPr>
        <w:t>ne</w:t>
      </w:r>
      <w:r w:rsidR="00F1075F">
        <w:rPr>
          <w:rFonts w:ascii="Times New Roman" w:eastAsia="Times New Roman" w:hAnsi="Times New Roman" w:cs="Times New Roman"/>
          <w:sz w:val="24"/>
          <w:szCs w:val="24"/>
        </w:rPr>
        <w:t xml:space="preserve">vertheless. The surveyors contacted city and district schools, </w:t>
      </w:r>
      <w:r w:rsidR="00AC3BA8" w:rsidRPr="00AC3BA8">
        <w:rPr>
          <w:rFonts w:ascii="Times New Roman" w:eastAsia="Times New Roman" w:hAnsi="Times New Roman" w:cs="Times New Roman"/>
          <w:sz w:val="24"/>
          <w:szCs w:val="24"/>
        </w:rPr>
        <w:t>subdistrict</w:t>
      </w:r>
      <w:r w:rsidR="00F1075F">
        <w:rPr>
          <w:rFonts w:ascii="Times New Roman" w:eastAsia="Times New Roman" w:hAnsi="Times New Roman" w:cs="Times New Roman"/>
          <w:sz w:val="24"/>
          <w:szCs w:val="24"/>
        </w:rPr>
        <w:t xml:space="preserve"> offices and social workers, but a considerable par</w:t>
      </w:r>
      <w:r w:rsidR="006208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F1075F">
        <w:rPr>
          <w:rFonts w:ascii="Times New Roman" w:eastAsia="Times New Roman" w:hAnsi="Times New Roman" w:cs="Times New Roman"/>
          <w:sz w:val="24"/>
          <w:szCs w:val="24"/>
        </w:rPr>
        <w:t xml:space="preserve"> of Roma households were not available at that time (they were absent). Taking into account the time</w:t>
      </w:r>
      <w:r w:rsidR="00AC3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075F">
        <w:rPr>
          <w:rFonts w:ascii="Times New Roman" w:eastAsia="Times New Roman" w:hAnsi="Times New Roman" w:cs="Times New Roman"/>
          <w:sz w:val="24"/>
          <w:szCs w:val="24"/>
        </w:rPr>
        <w:t xml:space="preserve"> financial resources as well as difficulties to ensure adequate participation, the decision was made to discontinue the survey in Šiauliai city and district</w:t>
      </w:r>
      <w:r w:rsidR="00083546" w:rsidRPr="001A3E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090FF2" w14:textId="0AC475FA" w:rsidR="00083546" w:rsidRPr="001A3E6C" w:rsidRDefault="0051361A" w:rsidP="005943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other locations the survey was conducted without encountering any major difficulties. Direct interviews were usually conducted either </w:t>
      </w:r>
      <w:r w:rsidR="00636477">
        <w:rPr>
          <w:rFonts w:ascii="Times New Roman" w:eastAsia="Times New Roman" w:hAnsi="Times New Roman" w:cs="Times New Roman"/>
          <w:sz w:val="24"/>
          <w:szCs w:val="24"/>
        </w:rPr>
        <w:t>by visiting respondents at home, or by inviting them to come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schools </w:t>
      </w:r>
      <w:r w:rsidR="00636477"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children. </w:t>
      </w:r>
      <w:r w:rsidR="00636477">
        <w:rPr>
          <w:rFonts w:ascii="Times New Roman" w:eastAsia="Times New Roman" w:hAnsi="Times New Roman" w:cs="Times New Roman"/>
          <w:sz w:val="24"/>
          <w:szCs w:val="24"/>
        </w:rPr>
        <w:t xml:space="preserve">The mediation of schools, </w:t>
      </w:r>
      <w:r w:rsidR="00AC3BA8" w:rsidRPr="00AC3BA8">
        <w:rPr>
          <w:rFonts w:ascii="Times New Roman" w:eastAsia="Times New Roman" w:hAnsi="Times New Roman" w:cs="Times New Roman"/>
          <w:sz w:val="24"/>
          <w:szCs w:val="24"/>
        </w:rPr>
        <w:t>subdistricts</w:t>
      </w:r>
      <w:r w:rsidR="00636477">
        <w:rPr>
          <w:rFonts w:ascii="Times New Roman" w:eastAsia="Times New Roman" w:hAnsi="Times New Roman" w:cs="Times New Roman"/>
          <w:sz w:val="24"/>
          <w:szCs w:val="24"/>
        </w:rPr>
        <w:t xml:space="preserve">, social workers and Roma NGOs was very important </w:t>
      </w:r>
      <w:r w:rsidR="00AC3BA8">
        <w:rPr>
          <w:rFonts w:ascii="Times New Roman" w:eastAsia="Times New Roman" w:hAnsi="Times New Roman" w:cs="Times New Roman"/>
          <w:sz w:val="24"/>
          <w:szCs w:val="24"/>
        </w:rPr>
        <w:t xml:space="preserve">for establishing contacts with </w:t>
      </w:r>
      <w:r w:rsidR="00636477">
        <w:rPr>
          <w:rFonts w:ascii="Times New Roman" w:eastAsia="Times New Roman" w:hAnsi="Times New Roman" w:cs="Times New Roman"/>
          <w:sz w:val="24"/>
          <w:szCs w:val="24"/>
        </w:rPr>
        <w:t xml:space="preserve">Roma people. There </w:t>
      </w:r>
      <w:r w:rsidR="00AC3BA8">
        <w:rPr>
          <w:rFonts w:ascii="Times New Roman" w:eastAsia="Times New Roman" w:hAnsi="Times New Roman" w:cs="Times New Roman"/>
          <w:sz w:val="24"/>
          <w:szCs w:val="24"/>
        </w:rPr>
        <w:t xml:space="preserve">were a </w:t>
      </w:r>
      <w:r w:rsidR="00636477">
        <w:rPr>
          <w:rFonts w:ascii="Times New Roman" w:eastAsia="Times New Roman" w:hAnsi="Times New Roman" w:cs="Times New Roman"/>
          <w:sz w:val="24"/>
          <w:szCs w:val="24"/>
        </w:rPr>
        <w:t>few houselholds that refused to participate in the survey</w:t>
      </w:r>
      <w:r w:rsidR="00AC3B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36477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636477">
        <w:rPr>
          <w:rFonts w:ascii="Times New Roman" w:eastAsia="Times New Roman" w:hAnsi="Times New Roman" w:cs="Times New Roman"/>
          <w:sz w:val="24"/>
          <w:szCs w:val="24"/>
          <w:lang w:val="en-US"/>
        </w:rPr>
        <w:t>0-2 households in each geographical location</w:t>
      </w:r>
      <w:r w:rsidR="00AC3BA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6364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8B575ED" w14:textId="457DC794" w:rsidR="007A2FC3" w:rsidRPr="001A3E6C" w:rsidRDefault="00636477" w:rsidP="005943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0E4F36" w:rsidRPr="001A3E6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A2FC3" w:rsidRPr="001A3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Sampling Locations of the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410"/>
        <w:gridCol w:w="2800"/>
      </w:tblGrid>
      <w:tr w:rsidR="007A2FC3" w:rsidRPr="001A3E6C" w14:paraId="48ED2340" w14:textId="77777777" w:rsidTr="00E55C01">
        <w:trPr>
          <w:trHeight w:val="351"/>
        </w:trPr>
        <w:tc>
          <w:tcPr>
            <w:tcW w:w="817" w:type="dxa"/>
          </w:tcPr>
          <w:p w14:paraId="1479FC16" w14:textId="77777777" w:rsidR="007A2FC3" w:rsidRPr="001A3E6C" w:rsidRDefault="007A2FC3" w:rsidP="007A2FC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26C89C8E" w14:textId="4A975268" w:rsidR="007A2FC3" w:rsidRPr="001A3E6C" w:rsidRDefault="00A82D6B" w:rsidP="007A2FC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Sampling l</w:t>
            </w:r>
            <w:r w:rsidR="007F6287">
              <w:rPr>
                <w:rFonts w:ascii="Times New Roman" w:eastAsia="Times New Roman" w:hAnsi="Times New Roman" w:cs="Times New Roman"/>
                <w:b/>
              </w:rPr>
              <w:t>ocations</w:t>
            </w:r>
          </w:p>
        </w:tc>
        <w:tc>
          <w:tcPr>
            <w:tcW w:w="2410" w:type="dxa"/>
          </w:tcPr>
          <w:p w14:paraId="792AAEC7" w14:textId="22F75773" w:rsidR="007A2FC3" w:rsidRPr="001A3E6C" w:rsidRDefault="007F6287" w:rsidP="007F628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Households</w:t>
            </w:r>
            <w:r w:rsidR="007A2FC3" w:rsidRPr="001A3E6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00" w:type="dxa"/>
          </w:tcPr>
          <w:p w14:paraId="757FF529" w14:textId="5FCD468D" w:rsidR="007A2FC3" w:rsidRPr="001A3E6C" w:rsidRDefault="007A2FC3" w:rsidP="007F628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3E6C">
              <w:rPr>
                <w:rFonts w:ascii="Times New Roman" w:eastAsia="Times New Roman" w:hAnsi="Times New Roman" w:cs="Times New Roman"/>
                <w:b/>
              </w:rPr>
              <w:t>Respondent</w:t>
            </w:r>
            <w:r w:rsidR="007F6287"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</w:tr>
      <w:tr w:rsidR="000E4F36" w:rsidRPr="001A3E6C" w14:paraId="0E537F14" w14:textId="77777777" w:rsidTr="00E55C01">
        <w:tc>
          <w:tcPr>
            <w:tcW w:w="817" w:type="dxa"/>
          </w:tcPr>
          <w:p w14:paraId="4C6E23BE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385E1387" w14:textId="055E61E5" w:rsidR="000E4F36" w:rsidRPr="001A3E6C" w:rsidRDefault="00CD4FF9" w:rsidP="00355B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Kaun</w:t>
            </w:r>
            <w:r w:rsidR="000E4F36" w:rsidRPr="001A3E6C">
              <w:rPr>
                <w:rFonts w:ascii="Times New Roman" w:eastAsia="Times New Roman" w:hAnsi="Times New Roman" w:cs="Times New Roman"/>
              </w:rPr>
              <w:t>as</w:t>
            </w:r>
            <w:r w:rsidR="00636477">
              <w:rPr>
                <w:rFonts w:ascii="Times New Roman" w:eastAsia="Times New Roman" w:hAnsi="Times New Roman" w:cs="Times New Roman"/>
              </w:rPr>
              <w:t xml:space="preserve"> city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C200447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00" w:type="dxa"/>
            <w:vAlign w:val="bottom"/>
          </w:tcPr>
          <w:p w14:paraId="4350D04A" w14:textId="77777777" w:rsidR="000E4F36" w:rsidRPr="001A3E6C" w:rsidRDefault="000E4F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E4F36" w:rsidRPr="001A3E6C" w14:paraId="31263C55" w14:textId="77777777" w:rsidTr="00E55C01">
        <w:tc>
          <w:tcPr>
            <w:tcW w:w="817" w:type="dxa"/>
          </w:tcPr>
          <w:p w14:paraId="343ECDBA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68671988" w14:textId="634F2A05" w:rsidR="000E4F36" w:rsidRPr="001A3E6C" w:rsidRDefault="007F6287" w:rsidP="007F62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Jonava</w:t>
            </w:r>
            <w:r w:rsidR="000E4F36" w:rsidRPr="001A3E6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 w:rsidR="00421D85" w:rsidRPr="001A3E6C">
              <w:rPr>
                <w:rFonts w:ascii="Times New Roman" w:eastAsia="Times New Roman" w:hAnsi="Times New Roman" w:cs="Times New Roman"/>
              </w:rPr>
              <w:t xml:space="preserve"> (Rukla, Jonava)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64B62C0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00" w:type="dxa"/>
            <w:vAlign w:val="bottom"/>
          </w:tcPr>
          <w:p w14:paraId="2518529E" w14:textId="77777777" w:rsidR="000E4F36" w:rsidRPr="001A3E6C" w:rsidRDefault="000E4F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E4F36" w:rsidRPr="001A3E6C" w14:paraId="4E810B94" w14:textId="77777777" w:rsidTr="00E55C01">
        <w:tc>
          <w:tcPr>
            <w:tcW w:w="817" w:type="dxa"/>
          </w:tcPr>
          <w:p w14:paraId="22E566EA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55A9F746" w14:textId="3A6E6EB9" w:rsidR="000E4F36" w:rsidRPr="001A3E6C" w:rsidRDefault="007F6287" w:rsidP="007F62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Kaunas</w:t>
            </w:r>
            <w:r w:rsidR="000E4F36" w:rsidRPr="001A3E6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 w:rsidR="000E4F36" w:rsidRPr="001A3E6C">
              <w:rPr>
                <w:rFonts w:ascii="Times New Roman" w:eastAsia="Times New Roman" w:hAnsi="Times New Roman" w:cs="Times New Roman"/>
              </w:rPr>
              <w:t xml:space="preserve"> (</w:t>
            </w:r>
            <w:r w:rsidR="00421D85" w:rsidRPr="001A3E6C">
              <w:rPr>
                <w:rFonts w:ascii="Times New Roman" w:eastAsia="Times New Roman" w:hAnsi="Times New Roman" w:cs="Times New Roman"/>
              </w:rPr>
              <w:t xml:space="preserve">Karmėlava, </w:t>
            </w:r>
            <w:r w:rsidR="000E4F36" w:rsidRPr="001A3E6C">
              <w:rPr>
                <w:rFonts w:ascii="Times New Roman" w:eastAsia="Times New Roman" w:hAnsi="Times New Roman" w:cs="Times New Roman"/>
              </w:rPr>
              <w:t>Vilkija)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4801138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00" w:type="dxa"/>
            <w:vAlign w:val="bottom"/>
          </w:tcPr>
          <w:p w14:paraId="7021748C" w14:textId="77777777" w:rsidR="000E4F36" w:rsidRPr="001A3E6C" w:rsidRDefault="000E4F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E4F36" w:rsidRPr="001A3E6C" w14:paraId="095A5A84" w14:textId="77777777" w:rsidTr="00E55C01">
        <w:tc>
          <w:tcPr>
            <w:tcW w:w="817" w:type="dxa"/>
          </w:tcPr>
          <w:p w14:paraId="47A61C2F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4A9414BC" w14:textId="76AB387F" w:rsidR="000E4F36" w:rsidRPr="001A3E6C" w:rsidRDefault="007F6287" w:rsidP="007F62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Prienai</w:t>
            </w:r>
            <w:r w:rsidR="000E4F36" w:rsidRPr="001A3E6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 w:rsidR="000E4F36" w:rsidRPr="001A3E6C">
              <w:rPr>
                <w:rFonts w:ascii="Times New Roman" w:eastAsia="Times New Roman" w:hAnsi="Times New Roman" w:cs="Times New Roman"/>
              </w:rPr>
              <w:t xml:space="preserve"> </w:t>
            </w:r>
            <w:r w:rsidR="00421D85" w:rsidRPr="001A3E6C">
              <w:rPr>
                <w:rFonts w:ascii="Times New Roman" w:eastAsia="Times New Roman" w:hAnsi="Times New Roman" w:cs="Times New Roman"/>
              </w:rPr>
              <w:t>(Prienai)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2DEC4C16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00" w:type="dxa"/>
            <w:vAlign w:val="bottom"/>
          </w:tcPr>
          <w:p w14:paraId="5D2FAF06" w14:textId="77777777" w:rsidR="000E4F36" w:rsidRPr="001A3E6C" w:rsidRDefault="000E4F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E4F36" w:rsidRPr="001A3E6C" w14:paraId="554A9F47" w14:textId="77777777" w:rsidTr="00E55C01">
        <w:tc>
          <w:tcPr>
            <w:tcW w:w="817" w:type="dxa"/>
          </w:tcPr>
          <w:p w14:paraId="6A4F2B8E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7A46C9DD" w14:textId="10DE3B9A" w:rsidR="000E4F36" w:rsidRPr="001A3E6C" w:rsidRDefault="007F6287" w:rsidP="007F62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Klaipėda</w:t>
            </w:r>
            <w:r w:rsidR="000E4F36" w:rsidRPr="001A3E6C">
              <w:rPr>
                <w:rFonts w:ascii="Times New Roman" w:eastAsia="Times New Roman" w:hAnsi="Times New Roman" w:cs="Times New Roman"/>
              </w:rPr>
              <w:t xml:space="preserve"> </w:t>
            </w:r>
            <w:r w:rsidR="00636477"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8BB16FA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00" w:type="dxa"/>
            <w:vAlign w:val="bottom"/>
          </w:tcPr>
          <w:p w14:paraId="0C6D39AF" w14:textId="77777777" w:rsidR="000E4F36" w:rsidRPr="001A3E6C" w:rsidRDefault="000E4F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E4F36" w:rsidRPr="001A3E6C" w14:paraId="1D83DB82" w14:textId="77777777" w:rsidTr="00E55C01">
        <w:tc>
          <w:tcPr>
            <w:tcW w:w="817" w:type="dxa"/>
          </w:tcPr>
          <w:p w14:paraId="2ACD432E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1F971421" w14:textId="105ED587" w:rsidR="000E4F36" w:rsidRPr="001A3E6C" w:rsidRDefault="007F6287" w:rsidP="007F62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Vilkaviškis district</w:t>
            </w:r>
            <w:r w:rsidR="000E4F36" w:rsidRPr="001A3E6C">
              <w:rPr>
                <w:rFonts w:ascii="Times New Roman" w:eastAsia="Times New Roman" w:hAnsi="Times New Roman" w:cs="Times New Roman"/>
              </w:rPr>
              <w:t xml:space="preserve"> (Kybartai)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1EBF65B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00" w:type="dxa"/>
            <w:vAlign w:val="bottom"/>
          </w:tcPr>
          <w:p w14:paraId="5456B5A8" w14:textId="77777777" w:rsidR="000E4F36" w:rsidRPr="001A3E6C" w:rsidRDefault="000E4F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E4F36" w:rsidRPr="001A3E6C" w14:paraId="7B408238" w14:textId="77777777" w:rsidTr="00E55C01">
        <w:tc>
          <w:tcPr>
            <w:tcW w:w="817" w:type="dxa"/>
          </w:tcPr>
          <w:p w14:paraId="6688BCCD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26BFF59E" w14:textId="38A13945" w:rsidR="000E4F36" w:rsidRPr="001A3E6C" w:rsidRDefault="007F6287" w:rsidP="00355B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Marijampolė</w:t>
            </w:r>
            <w:r w:rsidR="00636477">
              <w:rPr>
                <w:rFonts w:ascii="Times New Roman" w:eastAsia="Times New Roman" w:hAnsi="Times New Roman" w:cs="Times New Roman"/>
              </w:rPr>
              <w:t xml:space="preserve"> city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2D3E6C84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00" w:type="dxa"/>
            <w:vAlign w:val="bottom"/>
          </w:tcPr>
          <w:p w14:paraId="4ED5CDAF" w14:textId="77777777" w:rsidR="000E4F36" w:rsidRPr="001A3E6C" w:rsidRDefault="000E4F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E4F36" w:rsidRPr="001A3E6C" w14:paraId="37D36129" w14:textId="77777777" w:rsidTr="00E55C01">
        <w:tc>
          <w:tcPr>
            <w:tcW w:w="817" w:type="dxa"/>
          </w:tcPr>
          <w:p w14:paraId="74D0A1C4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02DACD20" w14:textId="7811CD26" w:rsidR="000E4F36" w:rsidRPr="001A3E6C" w:rsidRDefault="007F6287" w:rsidP="00355B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 w:rsidR="00AC3BA8"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</w:rPr>
              <w:t>vėžys</w:t>
            </w:r>
            <w:r w:rsidR="00636477">
              <w:rPr>
                <w:rFonts w:ascii="Times New Roman" w:eastAsia="Times New Roman" w:hAnsi="Times New Roman" w:cs="Times New Roman"/>
              </w:rPr>
              <w:t xml:space="preserve"> city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1EFBEDEA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00" w:type="dxa"/>
            <w:vAlign w:val="bottom"/>
          </w:tcPr>
          <w:p w14:paraId="41E2E0B5" w14:textId="77777777" w:rsidR="000E4F36" w:rsidRPr="001A3E6C" w:rsidRDefault="000E4F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E4F36" w:rsidRPr="001A3E6C" w14:paraId="4F79EC46" w14:textId="77777777" w:rsidTr="00E55C01">
        <w:tc>
          <w:tcPr>
            <w:tcW w:w="817" w:type="dxa"/>
          </w:tcPr>
          <w:p w14:paraId="434340D4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061AE42E" w14:textId="36066D1D" w:rsidR="000E4F36" w:rsidRPr="001A3E6C" w:rsidRDefault="007F6287" w:rsidP="00A82D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 w:rsidR="00AC3BA8"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</w:rPr>
              <w:t xml:space="preserve">vėžys </w:t>
            </w:r>
            <w:r w:rsidR="00A82D6B">
              <w:rPr>
                <w:rFonts w:ascii="Times New Roman" w:eastAsia="Times New Roman" w:hAnsi="Times New Roman" w:cs="Times New Roman"/>
              </w:rPr>
              <w:t>district</w:t>
            </w:r>
            <w:r w:rsidR="00421D85" w:rsidRPr="001A3E6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(Ramygala</w:t>
            </w:r>
            <w:r w:rsidR="00355B3C" w:rsidRPr="001A3E6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parish</w:t>
            </w:r>
            <w:r w:rsidR="00355B3C" w:rsidRPr="001A3E6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0B0600C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vAlign w:val="bottom"/>
          </w:tcPr>
          <w:p w14:paraId="19619410" w14:textId="77777777" w:rsidR="000E4F36" w:rsidRPr="001A3E6C" w:rsidRDefault="000E4F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E4F36" w:rsidRPr="001A3E6C" w14:paraId="31E06FCD" w14:textId="77777777" w:rsidTr="00E55C01">
        <w:tc>
          <w:tcPr>
            <w:tcW w:w="817" w:type="dxa"/>
          </w:tcPr>
          <w:p w14:paraId="136A17B1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681BA81B" w14:textId="669DBB84" w:rsidR="000E4F36" w:rsidRPr="001A3E6C" w:rsidRDefault="00421D85" w:rsidP="007F62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3E6C">
              <w:rPr>
                <w:rFonts w:ascii="Times New Roman" w:eastAsia="Times New Roman" w:hAnsi="Times New Roman" w:cs="Times New Roman"/>
              </w:rPr>
              <w:t>Šiauli</w:t>
            </w:r>
            <w:r w:rsidR="007F6287">
              <w:rPr>
                <w:rFonts w:ascii="Times New Roman" w:eastAsia="Times New Roman" w:hAnsi="Times New Roman" w:cs="Times New Roman"/>
              </w:rPr>
              <w:t>ai</w:t>
            </w:r>
            <w:r w:rsidR="00636477">
              <w:rPr>
                <w:rFonts w:ascii="Times New Roman" w:eastAsia="Times New Roman" w:hAnsi="Times New Roman" w:cs="Times New Roman"/>
              </w:rPr>
              <w:t xml:space="preserve"> city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80D069A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0" w:type="dxa"/>
            <w:vAlign w:val="bottom"/>
          </w:tcPr>
          <w:p w14:paraId="76C2FFE8" w14:textId="77777777" w:rsidR="000E4F36" w:rsidRPr="001A3E6C" w:rsidRDefault="000E4F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E4F36" w:rsidRPr="001A3E6C" w14:paraId="19FB8428" w14:textId="77777777" w:rsidTr="00E55C01">
        <w:tc>
          <w:tcPr>
            <w:tcW w:w="817" w:type="dxa"/>
          </w:tcPr>
          <w:p w14:paraId="0A2DE384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1D7E02D7" w14:textId="0E25FD77" w:rsidR="000E4F36" w:rsidRPr="001A3E6C" w:rsidRDefault="007F6287" w:rsidP="00A82D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Anykščiai </w:t>
            </w:r>
            <w:r w:rsidR="00A82D6B">
              <w:rPr>
                <w:rFonts w:ascii="Times New Roman" w:eastAsia="Times New Roman" w:hAnsi="Times New Roman" w:cs="Times New Roman"/>
              </w:rPr>
              <w:t>district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63FBB50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vAlign w:val="bottom"/>
          </w:tcPr>
          <w:p w14:paraId="5601B14C" w14:textId="77777777" w:rsidR="000E4F36" w:rsidRPr="001A3E6C" w:rsidRDefault="000E4F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E4F36" w:rsidRPr="001A3E6C" w14:paraId="3083A154" w14:textId="77777777" w:rsidTr="00E55C01">
        <w:tc>
          <w:tcPr>
            <w:tcW w:w="817" w:type="dxa"/>
          </w:tcPr>
          <w:p w14:paraId="6109BA50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4D3D695A" w14:textId="4C2F936A" w:rsidR="000E4F36" w:rsidRPr="001A3E6C" w:rsidRDefault="007F6287" w:rsidP="007F628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Vilnius </w:t>
            </w:r>
            <w:r w:rsidR="00636477">
              <w:rPr>
                <w:rFonts w:ascii="Times New Roman" w:eastAsia="Times New Roman" w:hAnsi="Times New Roman" w:cs="Times New Roman"/>
              </w:rPr>
              <w:t xml:space="preserve">city </w:t>
            </w:r>
            <w:r>
              <w:rPr>
                <w:rFonts w:ascii="Times New Roman" w:eastAsia="Times New Roman" w:hAnsi="Times New Roman" w:cs="Times New Roman"/>
              </w:rPr>
              <w:t>(Kirtimai settlement</w:t>
            </w:r>
            <w:r w:rsidR="00E55C01" w:rsidRPr="001A3E6C">
              <w:rPr>
                <w:rFonts w:ascii="Times New Roman" w:eastAsia="Times New Roman" w:hAnsi="Times New Roman" w:cs="Times New Roman"/>
              </w:rPr>
              <w:t xml:space="preserve"> 61</w:t>
            </w:r>
            <w:r>
              <w:rPr>
                <w:rFonts w:ascii="Times New Roman" w:eastAsia="Times New Roman" w:hAnsi="Times New Roman" w:cs="Times New Roman"/>
              </w:rPr>
              <w:t xml:space="preserve">%, other locations </w:t>
            </w:r>
            <w:r w:rsidR="00E55C01" w:rsidRPr="001A3E6C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 w:rsidR="00E55C01" w:rsidRPr="001A3E6C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7FF76D0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00" w:type="dxa"/>
            <w:vAlign w:val="bottom"/>
          </w:tcPr>
          <w:p w14:paraId="2E7DF097" w14:textId="77777777" w:rsidR="000E4F36" w:rsidRPr="001A3E6C" w:rsidRDefault="00421D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</w:tr>
      <w:tr w:rsidR="000E4F36" w:rsidRPr="001A3E6C" w14:paraId="55A9087D" w14:textId="77777777" w:rsidTr="00E55C01">
        <w:tc>
          <w:tcPr>
            <w:tcW w:w="817" w:type="dxa"/>
          </w:tcPr>
          <w:p w14:paraId="44D0F080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1EA7484D" w14:textId="672608C5" w:rsidR="000E4F36" w:rsidRPr="001A3E6C" w:rsidRDefault="007F6287" w:rsidP="00A82D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Šalčininkai </w:t>
            </w:r>
            <w:r w:rsidR="00A82D6B">
              <w:rPr>
                <w:rFonts w:ascii="Times New Roman" w:eastAsia="Times New Roman" w:hAnsi="Times New Roman" w:cs="Times New Roman"/>
              </w:rPr>
              <w:t>district</w:t>
            </w:r>
            <w:r w:rsidR="000E4F36" w:rsidRPr="001A3E6C">
              <w:rPr>
                <w:rFonts w:ascii="Times New Roman" w:eastAsia="Times New Roman" w:hAnsi="Times New Roman" w:cs="Times New Roman"/>
              </w:rPr>
              <w:t xml:space="preserve"> (Eišiškės)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128D77BC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00" w:type="dxa"/>
            <w:vAlign w:val="bottom"/>
          </w:tcPr>
          <w:p w14:paraId="58371EE4" w14:textId="77777777" w:rsidR="000E4F36" w:rsidRPr="001A3E6C" w:rsidRDefault="000E4F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E4F36" w:rsidRPr="001A3E6C" w14:paraId="3148CE14" w14:textId="77777777" w:rsidTr="00E55C01">
        <w:tc>
          <w:tcPr>
            <w:tcW w:w="817" w:type="dxa"/>
          </w:tcPr>
          <w:p w14:paraId="50B78052" w14:textId="77777777" w:rsidR="000E4F36" w:rsidRPr="001A3E6C" w:rsidRDefault="000E4F36" w:rsidP="00355B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2AC2AC9F" w14:textId="4FB7CBEA" w:rsidR="000E4F36" w:rsidRPr="001A3E6C" w:rsidRDefault="000E4F36" w:rsidP="00A82D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3E6C">
              <w:rPr>
                <w:rFonts w:ascii="Times New Roman" w:eastAsia="Times New Roman" w:hAnsi="Times New Roman" w:cs="Times New Roman"/>
              </w:rPr>
              <w:t xml:space="preserve">Ukmergės </w:t>
            </w:r>
            <w:r w:rsidR="00A82D6B">
              <w:rPr>
                <w:rFonts w:ascii="Times New Roman" w:eastAsia="Times New Roman" w:hAnsi="Times New Roman" w:cs="Times New Roman"/>
              </w:rPr>
              <w:t>district</w:t>
            </w:r>
            <w:r w:rsidRPr="001A3E6C">
              <w:rPr>
                <w:rFonts w:ascii="Times New Roman" w:eastAsia="Times New Roman" w:hAnsi="Times New Roman" w:cs="Times New Roman"/>
              </w:rPr>
              <w:t xml:space="preserve"> </w:t>
            </w:r>
            <w:r w:rsidR="007F6287">
              <w:rPr>
                <w:rFonts w:ascii="Times New Roman" w:eastAsia="Times New Roman" w:hAnsi="Times New Roman" w:cs="Times New Roman"/>
              </w:rPr>
              <w:t>(Ukmergė, Pivonija</w:t>
            </w:r>
            <w:r w:rsidR="00421D85" w:rsidRPr="001A3E6C">
              <w:rPr>
                <w:rFonts w:ascii="Times New Roman" w:eastAsia="Times New Roman" w:hAnsi="Times New Roman" w:cs="Times New Roman"/>
              </w:rPr>
              <w:t xml:space="preserve"> </w:t>
            </w:r>
            <w:r w:rsidR="007F6287">
              <w:rPr>
                <w:rFonts w:ascii="Times New Roman" w:eastAsia="Times New Roman" w:hAnsi="Times New Roman" w:cs="Times New Roman"/>
              </w:rPr>
              <w:t>parish</w:t>
            </w:r>
            <w:r w:rsidR="00421D85" w:rsidRPr="001A3E6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96519A5" w14:textId="77777777" w:rsidR="000E4F36" w:rsidRPr="001A3E6C" w:rsidRDefault="000E4F36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00" w:type="dxa"/>
            <w:vAlign w:val="bottom"/>
          </w:tcPr>
          <w:p w14:paraId="0695862B" w14:textId="77777777" w:rsidR="000E4F36" w:rsidRPr="001A3E6C" w:rsidRDefault="000E4F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3E6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E4F36" w:rsidRPr="001A3E6C" w14:paraId="353F5776" w14:textId="77777777" w:rsidTr="00E55C01">
        <w:tc>
          <w:tcPr>
            <w:tcW w:w="4644" w:type="dxa"/>
            <w:gridSpan w:val="2"/>
          </w:tcPr>
          <w:p w14:paraId="5116A06B" w14:textId="555C3D0E" w:rsidR="000E4F36" w:rsidRPr="001A3E6C" w:rsidRDefault="00A82D6B" w:rsidP="00355B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  <w:r w:rsidR="000E4F36" w:rsidRPr="001A3E6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410" w:type="dxa"/>
            <w:vAlign w:val="bottom"/>
          </w:tcPr>
          <w:p w14:paraId="6C1509D3" w14:textId="77777777" w:rsidR="000E4F36" w:rsidRPr="001A3E6C" w:rsidRDefault="00421D85" w:rsidP="00355B3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A3E6C">
              <w:rPr>
                <w:rFonts w:ascii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2800" w:type="dxa"/>
            <w:vAlign w:val="bottom"/>
          </w:tcPr>
          <w:p w14:paraId="7E26E580" w14:textId="77777777" w:rsidR="000E4F36" w:rsidRPr="001A3E6C" w:rsidRDefault="00421D85" w:rsidP="00896B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A3E6C">
              <w:rPr>
                <w:rFonts w:ascii="Times New Roman" w:hAnsi="Times New Roman" w:cs="Times New Roman"/>
                <w:b/>
                <w:color w:val="000000"/>
              </w:rPr>
              <w:t>523</w:t>
            </w:r>
            <w:r w:rsidR="00896BAC">
              <w:rPr>
                <w:rStyle w:val="FootnoteReference"/>
                <w:rFonts w:ascii="Times New Roman" w:hAnsi="Times New Roman" w:cs="Times New Roman"/>
                <w:b/>
                <w:color w:val="000000"/>
              </w:rPr>
              <w:footnoteReference w:id="1"/>
            </w:r>
          </w:p>
        </w:tc>
      </w:tr>
    </w:tbl>
    <w:p w14:paraId="5A0B1C5D" w14:textId="77777777" w:rsidR="001E2507" w:rsidRPr="001A3E6C" w:rsidRDefault="001E2507" w:rsidP="007A2FC3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BF519" w14:textId="77777777" w:rsidR="001E2507" w:rsidRPr="001A3E6C" w:rsidRDefault="001E2507">
      <w:pPr>
        <w:rPr>
          <w:rFonts w:ascii="Times New Roman" w:eastAsia="Times New Roman" w:hAnsi="Times New Roman" w:cs="Times New Roman"/>
          <w:sz w:val="24"/>
          <w:szCs w:val="24"/>
        </w:rPr>
      </w:pPr>
      <w:r w:rsidRPr="001A3E6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806ADB4" w14:textId="732A575D" w:rsidR="003E22FC" w:rsidRPr="00763EAE" w:rsidRDefault="00F96547" w:rsidP="00763EAE">
      <w:pPr>
        <w:pStyle w:val="Heading1"/>
        <w:jc w:val="center"/>
        <w:rPr>
          <w:color w:val="auto"/>
        </w:rPr>
      </w:pPr>
      <w:bookmarkStart w:id="1" w:name="_Toc419882040"/>
      <w:r>
        <w:rPr>
          <w:color w:val="auto"/>
        </w:rPr>
        <w:lastRenderedPageBreak/>
        <w:t>Survey Results</w:t>
      </w:r>
      <w:bookmarkEnd w:id="1"/>
    </w:p>
    <w:p w14:paraId="7342A256" w14:textId="3F4A4D17" w:rsidR="002E76FA" w:rsidRPr="001A3E6C" w:rsidRDefault="00252D7E" w:rsidP="002E76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aim of the s</w:t>
      </w:r>
      <w:r w:rsidR="00282F0A">
        <w:rPr>
          <w:rFonts w:ascii="Times New Roman" w:hAnsi="Times New Roman" w:cs="Times New Roman"/>
          <w:b/>
          <w:sz w:val="24"/>
          <w:szCs w:val="24"/>
        </w:rPr>
        <w:t>urvey</w:t>
      </w:r>
      <w:r w:rsidR="002E76FA" w:rsidRPr="001A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282F0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collect representative data about the situation of Roma according to indicators specified in An</w:t>
      </w:r>
      <w:r w:rsidR="00256ECB">
        <w:rPr>
          <w:rFonts w:ascii="Times New Roman" w:hAnsi="Times New Roman" w:cs="Times New Roman"/>
          <w:sz w:val="24"/>
          <w:szCs w:val="24"/>
        </w:rPr>
        <w:t>n</w:t>
      </w:r>
      <w:r w:rsidR="001C49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 3 of the </w:t>
      </w:r>
      <w:r w:rsidR="00C64A86" w:rsidRPr="00C64A86">
        <w:rPr>
          <w:rFonts w:ascii="Times New Roman" w:hAnsi="Times New Roman" w:cs="Times New Roman"/>
          <w:i/>
          <w:sz w:val="24"/>
          <w:szCs w:val="24"/>
        </w:rPr>
        <w:t>Action Plan for Integration of Roma into Lithuanian Society 2015-2020</w:t>
      </w:r>
      <w:r w:rsidR="002E76FA" w:rsidRPr="001A3E6C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2E76FA" w:rsidRPr="001A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4A86">
        <w:rPr>
          <w:rFonts w:ascii="Times New Roman" w:hAnsi="Times New Roman" w:cs="Times New Roman"/>
          <w:sz w:val="24"/>
          <w:szCs w:val="24"/>
        </w:rPr>
        <w:t xml:space="preserve">and to compare the data against the national average </w:t>
      </w:r>
      <w:r w:rsidR="00D82B45">
        <w:rPr>
          <w:rFonts w:ascii="Times New Roman" w:hAnsi="Times New Roman" w:cs="Times New Roman"/>
          <w:sz w:val="24"/>
          <w:szCs w:val="24"/>
        </w:rPr>
        <w:t>based on the annual</w:t>
      </w:r>
      <w:r w:rsidR="00C64A86">
        <w:rPr>
          <w:rFonts w:ascii="Times New Roman" w:hAnsi="Times New Roman" w:cs="Times New Roman"/>
          <w:sz w:val="24"/>
          <w:szCs w:val="24"/>
        </w:rPr>
        <w:t xml:space="preserve"> </w:t>
      </w:r>
      <w:r w:rsidR="00D82B45">
        <w:rPr>
          <w:rFonts w:ascii="Times New Roman" w:hAnsi="Times New Roman" w:cs="Times New Roman"/>
          <w:sz w:val="24"/>
          <w:szCs w:val="24"/>
        </w:rPr>
        <w:t xml:space="preserve">Income and Living Conditions Survey </w:t>
      </w:r>
      <w:r w:rsidR="00C64A86">
        <w:rPr>
          <w:rFonts w:ascii="Times New Roman" w:hAnsi="Times New Roman" w:cs="Times New Roman"/>
          <w:sz w:val="24"/>
          <w:szCs w:val="24"/>
        </w:rPr>
        <w:t xml:space="preserve">by </w:t>
      </w:r>
      <w:r w:rsidR="00611970">
        <w:rPr>
          <w:rFonts w:ascii="Times New Roman" w:hAnsi="Times New Roman" w:cs="Times New Roman"/>
          <w:sz w:val="24"/>
          <w:szCs w:val="24"/>
        </w:rPr>
        <w:t xml:space="preserve">the </w:t>
      </w:r>
      <w:r w:rsidR="00C64A86">
        <w:rPr>
          <w:rFonts w:ascii="Times New Roman" w:hAnsi="Times New Roman" w:cs="Times New Roman"/>
          <w:sz w:val="24"/>
          <w:szCs w:val="24"/>
        </w:rPr>
        <w:t>Statistics Lithua</w:t>
      </w:r>
      <w:r w:rsidR="00D82B45">
        <w:rPr>
          <w:rFonts w:ascii="Times New Roman" w:hAnsi="Times New Roman" w:cs="Times New Roman"/>
          <w:sz w:val="24"/>
          <w:szCs w:val="24"/>
        </w:rPr>
        <w:t xml:space="preserve">nia. Thus, the survey filled the gaps in the information about Roma </w:t>
      </w:r>
      <w:r w:rsidR="00D82B45" w:rsidRPr="00D82B45">
        <w:rPr>
          <w:rFonts w:ascii="Times New Roman" w:hAnsi="Times New Roman" w:cs="Times New Roman"/>
          <w:b/>
          <w:sz w:val="24"/>
          <w:szCs w:val="24"/>
        </w:rPr>
        <w:t>housing conditions, financial situation, le</w:t>
      </w:r>
      <w:r w:rsidR="001C49C4">
        <w:rPr>
          <w:rFonts w:ascii="Times New Roman" w:hAnsi="Times New Roman" w:cs="Times New Roman"/>
          <w:b/>
          <w:sz w:val="24"/>
          <w:szCs w:val="24"/>
        </w:rPr>
        <w:t>v</w:t>
      </w:r>
      <w:r w:rsidR="00D82B45" w:rsidRPr="00D82B45">
        <w:rPr>
          <w:rFonts w:ascii="Times New Roman" w:hAnsi="Times New Roman" w:cs="Times New Roman"/>
          <w:b/>
          <w:sz w:val="24"/>
          <w:szCs w:val="24"/>
        </w:rPr>
        <w:t>el of education, economic activity, living conditions and health status</w:t>
      </w:r>
      <w:r w:rsidR="00D82B45">
        <w:rPr>
          <w:rFonts w:ascii="Times New Roman" w:hAnsi="Times New Roman" w:cs="Times New Roman"/>
          <w:sz w:val="24"/>
          <w:szCs w:val="24"/>
        </w:rPr>
        <w:t>. The</w:t>
      </w:r>
      <w:r w:rsidR="001C49C4">
        <w:rPr>
          <w:rFonts w:ascii="Times New Roman" w:hAnsi="Times New Roman" w:cs="Times New Roman"/>
          <w:sz w:val="24"/>
          <w:szCs w:val="24"/>
        </w:rPr>
        <w:t xml:space="preserve"> present</w:t>
      </w:r>
      <w:r w:rsidR="00D82B45">
        <w:rPr>
          <w:rFonts w:ascii="Times New Roman" w:hAnsi="Times New Roman" w:cs="Times New Roman"/>
          <w:sz w:val="24"/>
          <w:szCs w:val="24"/>
        </w:rPr>
        <w:t xml:space="preserve"> survey repo</w:t>
      </w:r>
      <w:r w:rsidR="001C49C4">
        <w:rPr>
          <w:rFonts w:ascii="Times New Roman" w:hAnsi="Times New Roman" w:cs="Times New Roman"/>
          <w:sz w:val="24"/>
          <w:szCs w:val="24"/>
        </w:rPr>
        <w:t>rt contains data of the sociological</w:t>
      </w:r>
      <w:r w:rsidR="00D82B45">
        <w:rPr>
          <w:rFonts w:ascii="Times New Roman" w:hAnsi="Times New Roman" w:cs="Times New Roman"/>
          <w:sz w:val="24"/>
          <w:szCs w:val="24"/>
        </w:rPr>
        <w:t xml:space="preserve"> represent</w:t>
      </w:r>
      <w:r w:rsidR="001C49C4">
        <w:rPr>
          <w:rFonts w:ascii="Times New Roman" w:hAnsi="Times New Roman" w:cs="Times New Roman"/>
          <w:sz w:val="24"/>
          <w:szCs w:val="24"/>
        </w:rPr>
        <w:t>ative survey of Lithuanian Roma</w:t>
      </w:r>
      <w:r w:rsidR="00D82B45">
        <w:rPr>
          <w:rFonts w:ascii="Times New Roman" w:hAnsi="Times New Roman" w:cs="Times New Roman"/>
          <w:sz w:val="24"/>
          <w:szCs w:val="24"/>
        </w:rPr>
        <w:t xml:space="preserve"> and comp</w:t>
      </w:r>
      <w:r w:rsidR="001C49C4">
        <w:rPr>
          <w:rFonts w:ascii="Times New Roman" w:hAnsi="Times New Roman" w:cs="Times New Roman"/>
          <w:sz w:val="24"/>
          <w:szCs w:val="24"/>
        </w:rPr>
        <w:t>ar</w:t>
      </w:r>
      <w:r w:rsidR="00D82B45">
        <w:rPr>
          <w:rFonts w:ascii="Times New Roman" w:hAnsi="Times New Roman" w:cs="Times New Roman"/>
          <w:sz w:val="24"/>
          <w:szCs w:val="24"/>
        </w:rPr>
        <w:t>ison</w:t>
      </w:r>
      <w:r w:rsidR="001C49C4">
        <w:rPr>
          <w:rFonts w:ascii="Times New Roman" w:hAnsi="Times New Roman" w:cs="Times New Roman"/>
          <w:sz w:val="24"/>
          <w:szCs w:val="24"/>
        </w:rPr>
        <w:t xml:space="preserve"> of their situation with</w:t>
      </w:r>
      <w:r w:rsidR="00D82B45">
        <w:rPr>
          <w:rFonts w:ascii="Times New Roman" w:hAnsi="Times New Roman" w:cs="Times New Roman"/>
          <w:sz w:val="24"/>
          <w:szCs w:val="24"/>
        </w:rPr>
        <w:t xml:space="preserve"> the national average. Information supplied by the respondents to answer specific questions is presented in the An</w:t>
      </w:r>
      <w:r w:rsidR="001C49C4">
        <w:rPr>
          <w:rFonts w:ascii="Times New Roman" w:hAnsi="Times New Roman" w:cs="Times New Roman"/>
          <w:sz w:val="24"/>
          <w:szCs w:val="24"/>
        </w:rPr>
        <w:t>ne</w:t>
      </w:r>
      <w:r w:rsidR="00D82B45">
        <w:rPr>
          <w:rFonts w:ascii="Times New Roman" w:hAnsi="Times New Roman" w:cs="Times New Roman"/>
          <w:sz w:val="24"/>
          <w:szCs w:val="24"/>
        </w:rPr>
        <w:t xml:space="preserve">xes to this Report. </w:t>
      </w:r>
    </w:p>
    <w:p w14:paraId="5E5AB62D" w14:textId="5691E171" w:rsidR="00954646" w:rsidRPr="00763EAE" w:rsidRDefault="00491F15" w:rsidP="00763EAE">
      <w:pPr>
        <w:pStyle w:val="Heading2"/>
        <w:jc w:val="center"/>
        <w:rPr>
          <w:color w:val="auto"/>
        </w:rPr>
      </w:pPr>
      <w:bookmarkStart w:id="2" w:name="_Toc419882041"/>
      <w:r>
        <w:rPr>
          <w:color w:val="auto"/>
        </w:rPr>
        <w:t xml:space="preserve">Data on </w:t>
      </w:r>
      <w:r w:rsidR="00C74AEA">
        <w:rPr>
          <w:color w:val="auto"/>
        </w:rPr>
        <w:t>Hous</w:t>
      </w:r>
      <w:r w:rsidR="00D82B45">
        <w:rPr>
          <w:color w:val="auto"/>
        </w:rPr>
        <w:t>ehold</w:t>
      </w:r>
      <w:bookmarkEnd w:id="2"/>
      <w:r>
        <w:rPr>
          <w:color w:val="auto"/>
        </w:rPr>
        <w:t>s</w:t>
      </w:r>
    </w:p>
    <w:p w14:paraId="590BBCC7" w14:textId="0D941B75" w:rsidR="002E76FA" w:rsidRPr="001A3E6C" w:rsidRDefault="00D82B45" w:rsidP="002E76FA">
      <w:pPr>
        <w:pStyle w:val="ListParagraph"/>
        <w:numPr>
          <w:ilvl w:val="0"/>
          <w:numId w:val="6"/>
        </w:numPr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Housing</w:t>
      </w:r>
    </w:p>
    <w:p w14:paraId="325615BB" w14:textId="3526D771" w:rsidR="00571BF4" w:rsidRPr="001A3E6C" w:rsidRDefault="00D82B45" w:rsidP="00954646">
      <w:pPr>
        <w:spacing w:after="120" w:line="360" w:lineRule="atLeas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Size of housing</w:t>
      </w:r>
      <w:r w:rsidR="008A2965" w:rsidRPr="001A3E6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="00954646" w:rsidRPr="001A3E6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The survey of Lithuanian Roma </w:t>
      </w:r>
      <w:r w:rsidR="00FF05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that the average number of Roma residents per household is twice the national average: o</w:t>
      </w:r>
      <w:r w:rsidR="0051142F">
        <w:rPr>
          <w:rFonts w:ascii="Times New Roman" w:hAnsi="Times New Roman" w:cs="Times New Roman"/>
          <w:snapToGrid w:val="0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Roma household consists of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4.8 </w:t>
      </w:r>
      <w:r w:rsidR="0051142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members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on average, while the national average is 2.3 </w:t>
      </w:r>
      <w:r w:rsidR="0051142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members</w:t>
      </w:r>
      <w:r w:rsidR="00547A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per household</w:t>
      </w:r>
      <w:r w:rsidR="00954646" w:rsidRPr="001A3E6C">
        <w:rPr>
          <w:rStyle w:val="FootnoteReference"/>
          <w:rFonts w:ascii="Times New Roman" w:hAnsi="Times New Roman" w:cs="Times New Roman"/>
          <w:snapToGrid w:val="0"/>
          <w:color w:val="000000"/>
          <w:sz w:val="24"/>
          <w:szCs w:val="24"/>
        </w:rPr>
        <w:footnoteReference w:id="3"/>
      </w:r>
      <w:r w:rsidR="00B16BBA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2B8C6EF1" w14:textId="504C8449" w:rsidR="00954646" w:rsidRPr="001A3E6C" w:rsidRDefault="00547AE0" w:rsidP="00954646">
      <w:pPr>
        <w:spacing w:after="120" w:line="360" w:lineRule="atLeas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Type of housing</w:t>
      </w:r>
      <w:r w:rsidR="00571BF4" w:rsidRPr="001A3E6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="00571BF4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Almost o</w:t>
      </w:r>
      <w:r w:rsidR="0051142F">
        <w:rPr>
          <w:rFonts w:ascii="Times New Roman" w:hAnsi="Times New Roman" w:cs="Times New Roman"/>
          <w:snapToGrid w:val="0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third of Roma respondents (29%</w:t>
      </w:r>
      <w:r w:rsidR="00B16BBA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indicated that they live</w:t>
      </w:r>
      <w:r w:rsidR="00E50910">
        <w:rPr>
          <w:rFonts w:ascii="Times New Roman" w:hAnsi="Times New Roman" w:cs="Times New Roman"/>
          <w:snapToGrid w:val="0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in single appartment houses, and this percentage is only slightly lower than the national average </w:t>
      </w:r>
      <w:r w:rsidR="00954646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(37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%</w:t>
      </w:r>
      <w:r w:rsidR="00954646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)</w:t>
      </w:r>
      <w:r w:rsidR="00B16BBA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Compar</w:t>
      </w:r>
      <w:r w:rsidR="00FF05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with national indicators</w:t>
      </w:r>
      <w:r w:rsidR="00FF05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significantly fewer Roma </w:t>
      </w:r>
      <w:r w:rsidR="006746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residing in multi-appartment blocks of 10 appartments or more (Roma 28%; national average 48%</w:t>
      </w:r>
      <w:r w:rsidR="00954646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 and more Roma than nati</w:t>
      </w:r>
      <w:r w:rsidR="006F7BEF">
        <w:rPr>
          <w:rFonts w:ascii="Times New Roman" w:hAnsi="Times New Roman" w:cs="Times New Roman"/>
          <w:snapToGrid w:val="0"/>
          <w:color w:val="000000"/>
          <w:sz w:val="24"/>
          <w:szCs w:val="24"/>
        </w:rPr>
        <w:t>onal average live</w:t>
      </w:r>
      <w:r w:rsidR="006746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d</w:t>
      </w:r>
      <w:r w:rsidR="006F7BE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in small mult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i-appartment blocks of 3-10 appartments</w:t>
      </w:r>
      <w:r w:rsidR="00954646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Roma </w:t>
      </w:r>
      <w:r w:rsidR="00954646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%; national average </w:t>
      </w:r>
      <w:r w:rsidR="00954646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%</w:t>
      </w:r>
      <w:r w:rsidR="00954646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).</w:t>
      </w:r>
    </w:p>
    <w:p w14:paraId="4588DC62" w14:textId="3AF4321E" w:rsidR="001262C6" w:rsidRPr="001A3E6C" w:rsidRDefault="002A192E" w:rsidP="00B16BBA">
      <w:pPr>
        <w:spacing w:after="120" w:line="360" w:lineRule="atLeas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Type of ow</w:t>
      </w:r>
      <w:r w:rsidR="00E5091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rship</w:t>
      </w:r>
      <w:r w:rsidR="00571BF4" w:rsidRPr="001A3E6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="00571BF4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</w:rPr>
        <w:t>Compared with the overall national average</w:t>
      </w:r>
      <w:r w:rsidR="001262C6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significantly fewer Roma are ow</w:t>
      </w:r>
      <w:r w:rsidR="00E50910">
        <w:rPr>
          <w:rFonts w:ascii="Times New Roman" w:hAnsi="Times New Roman" w:cs="Times New Roman"/>
          <w:snapToGrid w:val="0"/>
          <w:color w:val="000000"/>
          <w:sz w:val="24"/>
          <w:szCs w:val="24"/>
        </w:rPr>
        <w:t>ne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rs of the housing they </w:t>
      </w:r>
      <w:r w:rsidR="00E50910">
        <w:rPr>
          <w:rFonts w:ascii="Times New Roman" w:hAnsi="Times New Roman" w:cs="Times New Roman"/>
          <w:snapToGrid w:val="0"/>
          <w:color w:val="000000"/>
          <w:sz w:val="24"/>
          <w:szCs w:val="24"/>
        </w:rPr>
        <w:t>live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in (Roma 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31%, national average 91%). 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</w:rPr>
        <w:t>Approximately o</w:t>
      </w:r>
      <w:r w:rsidR="00E50910">
        <w:rPr>
          <w:rFonts w:ascii="Times New Roman" w:hAnsi="Times New Roman" w:cs="Times New Roman"/>
          <w:snapToGrid w:val="0"/>
          <w:color w:val="000000"/>
          <w:sz w:val="24"/>
          <w:szCs w:val="24"/>
        </w:rPr>
        <w:t>ne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fifth (21%) of the respo</w:t>
      </w:r>
      <w:r w:rsidR="00E50910">
        <w:rPr>
          <w:rFonts w:ascii="Times New Roman" w:hAnsi="Times New Roman" w:cs="Times New Roman"/>
          <w:snapToGrid w:val="0"/>
          <w:color w:val="000000"/>
          <w:sz w:val="24"/>
          <w:szCs w:val="24"/>
        </w:rPr>
        <w:t>nde</w:t>
      </w:r>
      <w:r w:rsidR="000B693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nts </w:t>
      </w:r>
      <w:r w:rsidR="002D74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indicated that they do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not pay rent for their </w:t>
      </w:r>
      <w:r w:rsidR="000B693A">
        <w:rPr>
          <w:rFonts w:ascii="Times New Roman" w:hAnsi="Times New Roman" w:cs="Times New Roman"/>
          <w:snapToGrid w:val="0"/>
          <w:color w:val="000000"/>
          <w:sz w:val="24"/>
          <w:szCs w:val="24"/>
        </w:rPr>
        <w:t>accomodation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(i.e. housing </w:t>
      </w:r>
      <w:r w:rsidR="002D74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is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illegal or ow</w:t>
      </w:r>
      <w:r w:rsidR="000B693A">
        <w:rPr>
          <w:rFonts w:ascii="Times New Roman" w:hAnsi="Times New Roman" w:cs="Times New Roman"/>
          <w:snapToGrid w:val="0"/>
          <w:color w:val="000000"/>
          <w:sz w:val="24"/>
          <w:szCs w:val="24"/>
        </w:rPr>
        <w:t>ne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</w:rPr>
        <w:t>d by extended family</w:t>
      </w:r>
      <w:r w:rsidR="000B693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members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etc.); the national average is </w:t>
      </w:r>
      <w:r w:rsidR="001262C6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4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%. 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A higher proportion of Roma than national average rent their appartments; </w:t>
      </w:r>
      <w:r w:rsidR="001262C6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38</w:t>
      </w:r>
      <w:r w:rsidR="0086414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% reside in social housing (national average 1%), </w:t>
      </w:r>
      <w:r w:rsidR="00F871F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9% of households rent</w:t>
      </w:r>
      <w:r w:rsidR="002D74D5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e</w:t>
      </w:r>
      <w:r w:rsidR="00F871F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their apartments paying </w:t>
      </w:r>
      <w:r w:rsidR="000B693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the</w:t>
      </w:r>
      <w:r w:rsidR="00F871F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market price (national average </w:t>
      </w:r>
      <w:r w:rsidR="00F871FF">
        <w:rPr>
          <w:rFonts w:ascii="Times New Roman" w:hAnsi="Times New Roman" w:cs="Times New Roman"/>
          <w:snapToGrid w:val="0"/>
          <w:color w:val="000000"/>
          <w:sz w:val="24"/>
          <w:szCs w:val="24"/>
        </w:rPr>
        <w:t>0.</w:t>
      </w:r>
      <w:r w:rsidR="001262C6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7</w:t>
      </w:r>
      <w:r w:rsidR="00F871FF">
        <w:rPr>
          <w:rFonts w:ascii="Times New Roman" w:hAnsi="Times New Roman" w:cs="Times New Roman"/>
          <w:snapToGrid w:val="0"/>
          <w:color w:val="000000"/>
          <w:sz w:val="24"/>
          <w:szCs w:val="24"/>
        </w:rPr>
        <w:t>%</w:t>
      </w:r>
      <w:r w:rsidR="001262C6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). </w:t>
      </w:r>
      <w:r w:rsidR="00F871F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A very small proportion of Roma </w:t>
      </w:r>
      <w:r w:rsidR="002D74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have taken</w:t>
      </w:r>
      <w:r w:rsidR="00F871F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out a mortgage to acquire housing (Roma 1%, national average 3%).</w:t>
      </w:r>
    </w:p>
    <w:p w14:paraId="2E7B645C" w14:textId="607C88C0" w:rsidR="00571BF4" w:rsidRPr="001A3E6C" w:rsidRDefault="00F871FF" w:rsidP="00306EEB">
      <w:pPr>
        <w:spacing w:after="120" w:line="360" w:lineRule="atLeas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Housing area and number of rooms</w:t>
      </w:r>
      <w:r w:rsidR="0033757A" w:rsidRPr="001A3E6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="00B16BBA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12961">
        <w:rPr>
          <w:rFonts w:ascii="Times New Roman" w:hAnsi="Times New Roman" w:cs="Times New Roman"/>
          <w:snapToGrid w:val="0"/>
          <w:color w:val="000000"/>
          <w:sz w:val="24"/>
          <w:szCs w:val="24"/>
        </w:rPr>
        <w:t>The average area of Roma housing is smaller than</w:t>
      </w:r>
      <w:r w:rsidR="0008452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1296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the national average </w:t>
      </w:r>
      <w:r w:rsidR="00306EEB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(</w:t>
      </w:r>
      <w:r w:rsidR="00F12961">
        <w:rPr>
          <w:rFonts w:ascii="Times New Roman" w:hAnsi="Times New Roman" w:cs="Times New Roman"/>
          <w:snapToGrid w:val="0"/>
          <w:color w:val="000000"/>
          <w:sz w:val="24"/>
          <w:szCs w:val="24"/>
        </w:rPr>
        <w:t>48 and</w:t>
      </w:r>
      <w:r w:rsidR="00306EEB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63 </w:t>
      </w:r>
      <w:r w:rsidR="00921C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m</w:t>
      </w:r>
      <w:r w:rsidR="00921C59" w:rsidRPr="00084526">
        <w:rPr>
          <w:rFonts w:ascii="Times New Roman" w:hAnsi="Times New Roman" w:cs="Times New Roman"/>
          <w:snapToGrid w:val="0"/>
          <w:color w:val="000000"/>
          <w:sz w:val="24"/>
          <w:szCs w:val="24"/>
          <w:vertAlign w:val="superscript"/>
        </w:rPr>
        <w:t>2</w:t>
      </w:r>
      <w:r w:rsidR="00F1296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845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accordingly</w:t>
      </w:r>
      <w:r w:rsidR="00FF05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); </w:t>
      </w:r>
      <w:r w:rsidR="00F1296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the housing area per </w:t>
      </w:r>
      <w:r w:rsidR="00FF05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person</w:t>
      </w:r>
      <w:r w:rsidR="00F1296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is half the national average </w:t>
      </w:r>
      <w:r w:rsidR="00306EEB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(</w:t>
      </w:r>
      <w:r w:rsidR="00F12961">
        <w:rPr>
          <w:rFonts w:ascii="Times New Roman" w:hAnsi="Times New Roman" w:cs="Times New Roman"/>
          <w:snapToGrid w:val="0"/>
          <w:color w:val="000000"/>
          <w:sz w:val="24"/>
          <w:szCs w:val="24"/>
        </w:rPr>
        <w:t>12.6 and 26.</w:t>
      </w:r>
      <w:r w:rsidR="00306EEB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 </w:t>
      </w:r>
      <w:r w:rsidR="00921C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m</w:t>
      </w:r>
      <w:r w:rsidR="00921C59" w:rsidRPr="00084526">
        <w:rPr>
          <w:rFonts w:ascii="Times New Roman" w:hAnsi="Times New Roman" w:cs="Times New Roman"/>
          <w:snapToGrid w:val="0"/>
          <w:color w:val="000000"/>
          <w:sz w:val="24"/>
          <w:szCs w:val="24"/>
          <w:vertAlign w:val="superscript"/>
        </w:rPr>
        <w:t>2</w:t>
      </w:r>
      <w:r w:rsidR="00F1296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845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accordingly</w:t>
      </w:r>
      <w:r w:rsidR="00306EEB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)</w:t>
      </w:r>
      <w:r w:rsidR="00F1296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and smaller than the minimum area per </w:t>
      </w:r>
      <w:r w:rsidR="00FF05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person</w:t>
      </w:r>
      <w:r w:rsidR="00F1296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B693A">
        <w:rPr>
          <w:rFonts w:ascii="Times New Roman" w:hAnsi="Times New Roman" w:cs="Times New Roman"/>
          <w:snapToGrid w:val="0"/>
          <w:color w:val="000000"/>
          <w:sz w:val="24"/>
          <w:szCs w:val="24"/>
        </w:rPr>
        <w:t>fixed</w:t>
      </w:r>
      <w:r w:rsidR="002D74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by the s</w:t>
      </w:r>
      <w:r w:rsidR="00F1296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tate </w:t>
      </w:r>
      <w:r w:rsidR="003751D1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(14</w:t>
      </w:r>
      <w:r w:rsidR="00F1296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921C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m</w:t>
      </w:r>
      <w:r w:rsidR="00921C59" w:rsidRPr="00FF0551">
        <w:rPr>
          <w:rFonts w:ascii="Times New Roman" w:hAnsi="Times New Roman" w:cs="Times New Roman"/>
          <w:snapToGrid w:val="0"/>
          <w:color w:val="000000"/>
          <w:sz w:val="24"/>
          <w:szCs w:val="24"/>
          <w:vertAlign w:val="superscript"/>
        </w:rPr>
        <w:t>2</w:t>
      </w:r>
      <w:r w:rsidR="003751D1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)</w:t>
      </w:r>
      <w:r w:rsidR="00306EEB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921C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The average number of rooms in</w:t>
      </w:r>
      <w:r w:rsidR="005E740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921C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Roma housing is 2.1 (national average 3.5)</w:t>
      </w:r>
      <w:r w:rsidR="00306EEB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921C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F05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while</w:t>
      </w:r>
      <w:r w:rsidR="00921C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the number of rooms per person is half the national average </w:t>
      </w:r>
      <w:r w:rsidR="00306EEB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(</w:t>
      </w:r>
      <w:r w:rsidR="00921C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0.6 and 1.5 </w:t>
      </w:r>
      <w:r w:rsidR="00921C59" w:rsidRPr="000845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accordingly</w:t>
      </w:r>
      <w:r w:rsidR="00306EEB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). </w:t>
      </w:r>
    </w:p>
    <w:p w14:paraId="4EC5DF35" w14:textId="2B11DF0F" w:rsidR="00766770" w:rsidRPr="001A3E6C" w:rsidRDefault="00921C59" w:rsidP="00766770">
      <w:pPr>
        <w:spacing w:after="120" w:line="360" w:lineRule="atLeas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>Amenities and quality of housing</w:t>
      </w:r>
      <w:r w:rsidR="00571BF4" w:rsidRPr="001A3E6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="00571BF4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9F19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Living conditions are reflected by the presence of the amenities in the </w:t>
      </w:r>
      <w:r w:rsidR="00FF05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household</w:t>
      </w:r>
      <w:r w:rsidR="009F19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375E98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56% of</w:t>
      </w:r>
      <w:r w:rsidR="009F19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Roma households have </w:t>
      </w:r>
      <w:r w:rsidR="00375E9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no </w:t>
      </w:r>
      <w:r w:rsidR="009F19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baths or showers (</w:t>
      </w:r>
      <w:r w:rsidR="00375E98">
        <w:rPr>
          <w:rFonts w:ascii="Times New Roman" w:hAnsi="Times New Roman" w:cs="Times New Roman"/>
          <w:snapToGrid w:val="0"/>
          <w:color w:val="000000"/>
          <w:sz w:val="24"/>
          <w:szCs w:val="24"/>
        </w:rPr>
        <w:t>national average 15%), and 51% have no flush toilets (national average 16%).</w:t>
      </w:r>
      <w:r w:rsidR="00240426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14:paraId="1810E087" w14:textId="5252AEC9" w:rsidR="00B16BBA" w:rsidRPr="001A3E6C" w:rsidRDefault="00375E98" w:rsidP="005545F0">
      <w:pPr>
        <w:spacing w:after="120" w:line="360" w:lineRule="atLeast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The quality of Roma housing is also poorer: 68% of respondents indicated such problems as leaking roofs, damp walls (flooring, foundation), rotten windows or flooring</w:t>
      </w:r>
      <w:r w:rsidR="006A521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(national average </w:t>
      </w:r>
      <w:r w:rsidR="006A5211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19%). Roma housing is dark (not enough daylight) more frequently than overall national average (Roma 37%, national average 7.5%); </w:t>
      </w:r>
      <w:r w:rsidR="002D74D5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Roma</w:t>
      </w:r>
      <w:r w:rsidR="006A5211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complain about the noise from the </w:t>
      </w:r>
      <w:r w:rsidR="00A069C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ne</w:t>
      </w:r>
      <w:r w:rsidR="006A5211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xt-door </w:t>
      </w:r>
      <w:r w:rsidR="00A069C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ne</w:t>
      </w:r>
      <w:r w:rsidR="006A5211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ighbors, staircase or from the operations of transport, busi</w:t>
      </w:r>
      <w:r w:rsidR="00A069C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ne</w:t>
      </w:r>
      <w:r w:rsidR="006A5211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ss or industry (Roma 31%, national average 13%). </w:t>
      </w:r>
      <w:r w:rsidR="00371E84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Also, </w:t>
      </w:r>
      <w:r w:rsidR="006A5211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Roma more often live in crime, violence and/or vandalism-ridden </w:t>
      </w:r>
      <w:r w:rsidR="00A069C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ne</w:t>
      </w:r>
      <w:r w:rsidR="006A5211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ighborhoods (Roma 34%, national average 5%). </w:t>
      </w:r>
      <w:r w:rsidR="00766770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bookmarkStart w:id="3" w:name="part_2348906fbcc54ba4ba2f0ba64f986c9f"/>
      <w:bookmarkEnd w:id="3"/>
    </w:p>
    <w:p w14:paraId="5A826093" w14:textId="1377CCE4" w:rsidR="005545F0" w:rsidRPr="001A3E6C" w:rsidRDefault="00371E84" w:rsidP="005545F0">
      <w:pPr>
        <w:spacing w:after="120" w:line="360" w:lineRule="atLeas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Compared to the overall national average, a higher proportion of Roma households indicated that they can not afford </w:t>
      </w:r>
      <w:r w:rsidR="00802524">
        <w:rPr>
          <w:rFonts w:ascii="Times New Roman" w:hAnsi="Times New Roman" w:cs="Times New Roman"/>
          <w:snapToGrid w:val="0"/>
          <w:color w:val="000000"/>
          <w:sz w:val="24"/>
          <w:szCs w:val="24"/>
        </w:rPr>
        <w:t>adequate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heating of their </w:t>
      </w:r>
      <w:r w:rsidR="00802524">
        <w:rPr>
          <w:rFonts w:ascii="Times New Roman" w:hAnsi="Times New Roman" w:cs="Times New Roman"/>
          <w:snapToGrid w:val="0"/>
          <w:color w:val="000000"/>
          <w:sz w:val="24"/>
          <w:szCs w:val="24"/>
        </w:rPr>
        <w:t>home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545F0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Roma 49%, national average 31%</w:t>
      </w:r>
      <w:r w:rsidR="005545F0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). </w:t>
      </w:r>
    </w:p>
    <w:p w14:paraId="56BFD6D2" w14:textId="2CE71CBA" w:rsidR="002E76FA" w:rsidRPr="001A3E6C" w:rsidRDefault="00371E84" w:rsidP="005545F0">
      <w:pPr>
        <w:spacing w:after="120" w:line="360" w:lineRule="atLeas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Housing compensation</w:t>
      </w:r>
      <w:r w:rsidR="002E76FA" w:rsidRPr="001A3E6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="00A6016F" w:rsidRPr="001A3E6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="00A6016F" w:rsidRPr="001A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71</w:t>
      </w:r>
      <w:r w:rsidR="002B6C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% of Roma h</w:t>
      </w:r>
      <w:r w:rsidR="00E152FB">
        <w:rPr>
          <w:rFonts w:ascii="Times New Roman" w:hAnsi="Times New Roman" w:cs="Times New Roman"/>
          <w:snapToGrid w:val="0"/>
          <w:color w:val="000000"/>
          <w:sz w:val="24"/>
          <w:szCs w:val="24"/>
        </w:rPr>
        <w:t>ouseholds indicated that they do</w:t>
      </w:r>
      <w:r w:rsidR="002B6C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not </w:t>
      </w:r>
      <w:r w:rsidR="00E152FB">
        <w:rPr>
          <w:rFonts w:ascii="Times New Roman" w:hAnsi="Times New Roman" w:cs="Times New Roman"/>
          <w:snapToGrid w:val="0"/>
          <w:color w:val="000000"/>
          <w:sz w:val="24"/>
          <w:szCs w:val="24"/>
        </w:rPr>
        <w:t>receive</w:t>
      </w:r>
      <w:r w:rsidR="002B6C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any housing compensations (i.e. for heating, hot and cold water). Compensations are paid to 29% of Roma households (national average 5%). </w:t>
      </w:r>
    </w:p>
    <w:p w14:paraId="18A113F4" w14:textId="77777777" w:rsidR="003A5062" w:rsidRDefault="003A5062" w:rsidP="003A5062">
      <w:pPr>
        <w:pStyle w:val="ListParagraph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6872D10" w14:textId="7674E4F7" w:rsidR="00B16BBA" w:rsidRPr="001A3E6C" w:rsidRDefault="006B200E" w:rsidP="002E76FA">
      <w:pPr>
        <w:pStyle w:val="ListParagraph"/>
        <w:numPr>
          <w:ilvl w:val="0"/>
          <w:numId w:val="6"/>
        </w:numPr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Situation of Roma Households</w:t>
      </w:r>
    </w:p>
    <w:p w14:paraId="3AD8AC35" w14:textId="1B612ACE" w:rsidR="00736BE4" w:rsidRPr="001A3E6C" w:rsidRDefault="002E76FA" w:rsidP="00B16BBA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E6C">
        <w:rPr>
          <w:rFonts w:ascii="Times New Roman" w:hAnsi="Times New Roman" w:cs="Times New Roman"/>
          <w:b/>
          <w:sz w:val="24"/>
          <w:szCs w:val="24"/>
        </w:rPr>
        <w:t>Material</w:t>
      </w:r>
      <w:r w:rsidR="00F7474A">
        <w:rPr>
          <w:rFonts w:ascii="Times New Roman" w:hAnsi="Times New Roman" w:cs="Times New Roman"/>
          <w:b/>
          <w:sz w:val="24"/>
          <w:szCs w:val="24"/>
        </w:rPr>
        <w:t xml:space="preserve"> deprivation</w:t>
      </w:r>
      <w:r w:rsidR="00736BE4" w:rsidRPr="001A3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3F0">
        <w:rPr>
          <w:rFonts w:ascii="Times New Roman" w:hAnsi="Times New Roman" w:cs="Times New Roman"/>
          <w:sz w:val="24"/>
          <w:szCs w:val="24"/>
        </w:rPr>
        <w:t xml:space="preserve">refers to economic </w:t>
      </w:r>
      <w:r w:rsidR="00FC5F0B">
        <w:rPr>
          <w:rFonts w:ascii="Times New Roman" w:hAnsi="Times New Roman" w:cs="Times New Roman"/>
          <w:sz w:val="24"/>
          <w:szCs w:val="24"/>
        </w:rPr>
        <w:t>strains</w:t>
      </w:r>
      <w:r w:rsidR="006C23F0">
        <w:rPr>
          <w:rFonts w:ascii="Times New Roman" w:hAnsi="Times New Roman" w:cs="Times New Roman"/>
          <w:sz w:val="24"/>
          <w:szCs w:val="24"/>
        </w:rPr>
        <w:t xml:space="preserve"> experienced by households and their inability to afford durable goods. </w:t>
      </w:r>
    </w:p>
    <w:p w14:paraId="25534E96" w14:textId="170AFECA" w:rsidR="008633E2" w:rsidRDefault="007E5086" w:rsidP="00B16BBA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purpose of the analysis, economic </w:t>
      </w:r>
      <w:r w:rsidR="00FC5F0B">
        <w:rPr>
          <w:rFonts w:ascii="Times New Roman" w:hAnsi="Times New Roman" w:cs="Times New Roman"/>
          <w:sz w:val="24"/>
          <w:szCs w:val="24"/>
        </w:rPr>
        <w:t>strains</w:t>
      </w:r>
      <w:r>
        <w:rPr>
          <w:rFonts w:ascii="Times New Roman" w:hAnsi="Times New Roman" w:cs="Times New Roman"/>
          <w:sz w:val="24"/>
          <w:szCs w:val="24"/>
        </w:rPr>
        <w:t xml:space="preserve"> are defi</w:t>
      </w:r>
      <w:r w:rsidR="005B3CF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d as follows: </w:t>
      </w:r>
      <w:r w:rsidR="00736BE4" w:rsidRPr="001A3E6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a household can not afford </w:t>
      </w:r>
      <w:r w:rsidR="00802524">
        <w:rPr>
          <w:rFonts w:ascii="Times New Roman" w:hAnsi="Times New Roman" w:cs="Times New Roman"/>
          <w:sz w:val="24"/>
          <w:szCs w:val="24"/>
        </w:rPr>
        <w:t xml:space="preserve">to pay on time </w:t>
      </w:r>
      <w:r>
        <w:rPr>
          <w:rFonts w:ascii="Times New Roman" w:hAnsi="Times New Roman" w:cs="Times New Roman"/>
          <w:sz w:val="24"/>
          <w:szCs w:val="24"/>
        </w:rPr>
        <w:t>rent</w:t>
      </w:r>
      <w:r w:rsidR="00802524">
        <w:rPr>
          <w:rFonts w:ascii="Times New Roman" w:hAnsi="Times New Roman" w:cs="Times New Roman"/>
          <w:sz w:val="24"/>
          <w:szCs w:val="24"/>
        </w:rPr>
        <w:t xml:space="preserve"> payments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2524">
        <w:rPr>
          <w:rFonts w:ascii="Times New Roman" w:hAnsi="Times New Roman" w:cs="Times New Roman"/>
          <w:sz w:val="24"/>
          <w:szCs w:val="24"/>
        </w:rPr>
        <w:t xml:space="preserve">utility bills, hire purchase installments or other loan payments; </w:t>
      </w:r>
      <w:r w:rsidR="00736BE4" w:rsidRPr="001A3E6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a household can not afford </w:t>
      </w:r>
      <w:r w:rsidR="00802524">
        <w:rPr>
          <w:rFonts w:ascii="Times New Roman" w:hAnsi="Times New Roman" w:cs="Times New Roman"/>
          <w:sz w:val="24"/>
          <w:szCs w:val="24"/>
        </w:rPr>
        <w:t>o</w:t>
      </w:r>
      <w:r w:rsidR="005B3CF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week</w:t>
      </w:r>
      <w:r w:rsidR="00802524">
        <w:rPr>
          <w:rFonts w:ascii="Times New Roman" w:hAnsi="Times New Roman" w:cs="Times New Roman"/>
          <w:sz w:val="24"/>
          <w:szCs w:val="24"/>
        </w:rPr>
        <w:t>’s annual holiday away from home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36BE4" w:rsidRPr="001A3E6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a household can not afford </w:t>
      </w:r>
      <w:r w:rsidR="00802524">
        <w:rPr>
          <w:rFonts w:ascii="Times New Roman" w:hAnsi="Times New Roman" w:cs="Times New Roman"/>
          <w:sz w:val="24"/>
          <w:szCs w:val="24"/>
        </w:rPr>
        <w:t>adequate heating of their home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36BE4" w:rsidRPr="001A3E6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a household ca</w:t>
      </w:r>
      <w:r w:rsidR="008025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not afford to have </w:t>
      </w:r>
      <w:r w:rsidR="00802524">
        <w:rPr>
          <w:rFonts w:ascii="Times New Roman" w:hAnsi="Times New Roman" w:cs="Times New Roman"/>
          <w:sz w:val="24"/>
          <w:szCs w:val="24"/>
        </w:rPr>
        <w:t xml:space="preserve">a meal with </w:t>
      </w:r>
      <w:r>
        <w:rPr>
          <w:rFonts w:ascii="Times New Roman" w:hAnsi="Times New Roman" w:cs="Times New Roman"/>
          <w:sz w:val="24"/>
          <w:szCs w:val="24"/>
        </w:rPr>
        <w:t xml:space="preserve">meat, fish or </w:t>
      </w:r>
      <w:r w:rsidR="00802524">
        <w:rPr>
          <w:rFonts w:ascii="Times New Roman" w:hAnsi="Times New Roman" w:cs="Times New Roman"/>
          <w:sz w:val="24"/>
          <w:szCs w:val="24"/>
        </w:rPr>
        <w:t xml:space="preserve">vegetarian </w:t>
      </w:r>
      <w:r>
        <w:rPr>
          <w:rFonts w:ascii="Times New Roman" w:hAnsi="Times New Roman" w:cs="Times New Roman"/>
          <w:sz w:val="24"/>
          <w:szCs w:val="24"/>
        </w:rPr>
        <w:t xml:space="preserve">equivalent at least every second day; </w:t>
      </w:r>
      <w:r w:rsidR="00736BE4" w:rsidRPr="001A3E6C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02524">
        <w:rPr>
          <w:rFonts w:ascii="Times New Roman" w:hAnsi="Times New Roman" w:cs="Times New Roman"/>
          <w:sz w:val="24"/>
          <w:szCs w:val="24"/>
        </w:rPr>
        <w:t>household can not face u</w:t>
      </w:r>
      <w:r w:rsidR="005B3CFA">
        <w:rPr>
          <w:rFonts w:ascii="Times New Roman" w:hAnsi="Times New Roman" w:cs="Times New Roman"/>
          <w:sz w:val="24"/>
          <w:szCs w:val="24"/>
        </w:rPr>
        <w:t>ne</w:t>
      </w:r>
      <w:r w:rsidR="00802524">
        <w:rPr>
          <w:rFonts w:ascii="Times New Roman" w:hAnsi="Times New Roman" w:cs="Times New Roman"/>
          <w:sz w:val="24"/>
          <w:szCs w:val="24"/>
        </w:rPr>
        <w:t xml:space="preserve">xpected expenses </w:t>
      </w:r>
      <w:r>
        <w:rPr>
          <w:rFonts w:ascii="Times New Roman" w:hAnsi="Times New Roman" w:cs="Times New Roman"/>
          <w:sz w:val="24"/>
          <w:szCs w:val="24"/>
        </w:rPr>
        <w:t xml:space="preserve">(amount of </w:t>
      </w:r>
      <w:r w:rsidR="00802524">
        <w:rPr>
          <w:rFonts w:ascii="Times New Roman" w:hAnsi="Times New Roman" w:cs="Times New Roman"/>
          <w:sz w:val="24"/>
          <w:szCs w:val="24"/>
        </w:rPr>
        <w:t>expenses</w:t>
      </w:r>
      <w:r>
        <w:rPr>
          <w:rFonts w:ascii="Times New Roman" w:hAnsi="Times New Roman" w:cs="Times New Roman"/>
          <w:sz w:val="24"/>
          <w:szCs w:val="24"/>
        </w:rPr>
        <w:t xml:space="preserve"> equals the monthly poverty threshold of the previous year). Durable </w:t>
      </w:r>
      <w:r w:rsidR="00A5099A">
        <w:rPr>
          <w:rFonts w:ascii="Times New Roman" w:hAnsi="Times New Roman" w:cs="Times New Roman"/>
          <w:sz w:val="24"/>
          <w:szCs w:val="24"/>
        </w:rPr>
        <w:t>goods are</w:t>
      </w:r>
      <w:r w:rsidR="00736BE4" w:rsidRPr="001A3E6C">
        <w:rPr>
          <w:rFonts w:ascii="Times New Roman" w:hAnsi="Times New Roman" w:cs="Times New Roman"/>
          <w:sz w:val="24"/>
          <w:szCs w:val="24"/>
        </w:rPr>
        <w:t>: 1)</w:t>
      </w:r>
      <w:r w:rsidR="00A5099A">
        <w:rPr>
          <w:rFonts w:ascii="Times New Roman" w:hAnsi="Times New Roman" w:cs="Times New Roman"/>
          <w:sz w:val="24"/>
          <w:szCs w:val="24"/>
        </w:rPr>
        <w:t xml:space="preserve"> a</w:t>
      </w:r>
      <w:r w:rsidR="00736BE4" w:rsidRPr="001A3E6C">
        <w:rPr>
          <w:rFonts w:ascii="Times New Roman" w:hAnsi="Times New Roman" w:cs="Times New Roman"/>
          <w:sz w:val="24"/>
          <w:szCs w:val="24"/>
        </w:rPr>
        <w:t xml:space="preserve"> tele</w:t>
      </w:r>
      <w:r w:rsidR="00802524">
        <w:rPr>
          <w:rFonts w:ascii="Times New Roman" w:hAnsi="Times New Roman" w:cs="Times New Roman"/>
          <w:sz w:val="24"/>
          <w:szCs w:val="24"/>
        </w:rPr>
        <w:t>pho</w:t>
      </w:r>
      <w:r w:rsidR="005B3CFA">
        <w:rPr>
          <w:rFonts w:ascii="Times New Roman" w:hAnsi="Times New Roman" w:cs="Times New Roman"/>
          <w:sz w:val="24"/>
          <w:szCs w:val="24"/>
        </w:rPr>
        <w:t>ne</w:t>
      </w:r>
      <w:r w:rsidR="00802524">
        <w:rPr>
          <w:rFonts w:ascii="Times New Roman" w:hAnsi="Times New Roman" w:cs="Times New Roman"/>
          <w:sz w:val="24"/>
          <w:szCs w:val="24"/>
        </w:rPr>
        <w:t xml:space="preserve"> (including</w:t>
      </w:r>
      <w:r w:rsidR="00A5099A">
        <w:rPr>
          <w:rFonts w:ascii="Times New Roman" w:hAnsi="Times New Roman" w:cs="Times New Roman"/>
          <w:sz w:val="24"/>
          <w:szCs w:val="24"/>
        </w:rPr>
        <w:t xml:space="preserve"> mobile</w:t>
      </w:r>
      <w:r w:rsidR="00802524">
        <w:rPr>
          <w:rFonts w:ascii="Times New Roman" w:hAnsi="Times New Roman" w:cs="Times New Roman"/>
          <w:sz w:val="24"/>
          <w:szCs w:val="24"/>
        </w:rPr>
        <w:t xml:space="preserve"> pho</w:t>
      </w:r>
      <w:r w:rsidR="005B3CFA">
        <w:rPr>
          <w:rFonts w:ascii="Times New Roman" w:hAnsi="Times New Roman" w:cs="Times New Roman"/>
          <w:sz w:val="24"/>
          <w:szCs w:val="24"/>
        </w:rPr>
        <w:t>ne</w:t>
      </w:r>
      <w:r w:rsidR="00A5099A">
        <w:rPr>
          <w:rFonts w:ascii="Times New Roman" w:hAnsi="Times New Roman" w:cs="Times New Roman"/>
          <w:sz w:val="24"/>
          <w:szCs w:val="24"/>
        </w:rPr>
        <w:t xml:space="preserve">); </w:t>
      </w:r>
      <w:r w:rsidR="00736BE4" w:rsidRPr="001A3E6C">
        <w:rPr>
          <w:rFonts w:ascii="Times New Roman" w:hAnsi="Times New Roman" w:cs="Times New Roman"/>
          <w:sz w:val="24"/>
          <w:szCs w:val="24"/>
        </w:rPr>
        <w:t xml:space="preserve">2) </w:t>
      </w:r>
      <w:r w:rsidR="00A5099A">
        <w:rPr>
          <w:rFonts w:ascii="Times New Roman" w:hAnsi="Times New Roman" w:cs="Times New Roman"/>
          <w:sz w:val="24"/>
          <w:szCs w:val="24"/>
        </w:rPr>
        <w:t xml:space="preserve">a colour TV; </w:t>
      </w:r>
      <w:r w:rsidR="00736BE4" w:rsidRPr="001A3E6C">
        <w:rPr>
          <w:rFonts w:ascii="Times New Roman" w:hAnsi="Times New Roman" w:cs="Times New Roman"/>
          <w:sz w:val="24"/>
          <w:szCs w:val="24"/>
        </w:rPr>
        <w:t xml:space="preserve">3) </w:t>
      </w:r>
      <w:r w:rsidR="00A5099A">
        <w:rPr>
          <w:rFonts w:ascii="Times New Roman" w:hAnsi="Times New Roman" w:cs="Times New Roman"/>
          <w:sz w:val="24"/>
          <w:szCs w:val="24"/>
        </w:rPr>
        <w:t>a</w:t>
      </w:r>
      <w:r w:rsidR="00802524">
        <w:rPr>
          <w:rFonts w:ascii="Times New Roman" w:hAnsi="Times New Roman" w:cs="Times New Roman"/>
          <w:sz w:val="24"/>
          <w:szCs w:val="24"/>
        </w:rPr>
        <w:t xml:space="preserve">  </w:t>
      </w:r>
      <w:r w:rsidR="00A5099A">
        <w:rPr>
          <w:rFonts w:ascii="Times New Roman" w:hAnsi="Times New Roman" w:cs="Times New Roman"/>
          <w:sz w:val="24"/>
          <w:szCs w:val="24"/>
        </w:rPr>
        <w:t>washing machi</w:t>
      </w:r>
      <w:r w:rsidR="005B3CFA">
        <w:rPr>
          <w:rFonts w:ascii="Times New Roman" w:hAnsi="Times New Roman" w:cs="Times New Roman"/>
          <w:sz w:val="24"/>
          <w:szCs w:val="24"/>
        </w:rPr>
        <w:t>ne</w:t>
      </w:r>
      <w:r w:rsidR="00A5099A">
        <w:rPr>
          <w:rFonts w:ascii="Times New Roman" w:hAnsi="Times New Roman" w:cs="Times New Roman"/>
          <w:sz w:val="24"/>
          <w:szCs w:val="24"/>
        </w:rPr>
        <w:t>;</w:t>
      </w:r>
      <w:r w:rsidR="00736BE4" w:rsidRPr="001A3E6C">
        <w:rPr>
          <w:rFonts w:ascii="Times New Roman" w:hAnsi="Times New Roman" w:cs="Times New Roman"/>
          <w:sz w:val="24"/>
          <w:szCs w:val="24"/>
        </w:rPr>
        <w:t xml:space="preserve"> 4)</w:t>
      </w:r>
      <w:r w:rsidR="00A5099A">
        <w:rPr>
          <w:rFonts w:ascii="Times New Roman" w:hAnsi="Times New Roman" w:cs="Times New Roman"/>
          <w:sz w:val="24"/>
          <w:szCs w:val="24"/>
        </w:rPr>
        <w:t xml:space="preserve"> a</w:t>
      </w:r>
      <w:r w:rsidR="00736BE4" w:rsidRPr="001A3E6C">
        <w:rPr>
          <w:rFonts w:ascii="Times New Roman" w:hAnsi="Times New Roman" w:cs="Times New Roman"/>
          <w:sz w:val="24"/>
          <w:szCs w:val="24"/>
        </w:rPr>
        <w:t xml:space="preserve"> </w:t>
      </w:r>
      <w:r w:rsidR="00A5099A">
        <w:rPr>
          <w:rFonts w:ascii="Times New Roman" w:hAnsi="Times New Roman" w:cs="Times New Roman"/>
          <w:sz w:val="24"/>
          <w:szCs w:val="24"/>
        </w:rPr>
        <w:t xml:space="preserve">car. </w:t>
      </w:r>
    </w:p>
    <w:p w14:paraId="07FAA876" w14:textId="4D160847" w:rsidR="00736BE4" w:rsidRPr="001A3E6C" w:rsidRDefault="00D5163D" w:rsidP="00B16BBA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E6C">
        <w:rPr>
          <w:rFonts w:ascii="Times New Roman" w:hAnsi="Times New Roman" w:cs="Times New Roman"/>
          <w:sz w:val="24"/>
          <w:szCs w:val="24"/>
        </w:rPr>
        <w:t>Anal</w:t>
      </w:r>
      <w:r w:rsidR="000A7666">
        <w:rPr>
          <w:rFonts w:ascii="Times New Roman" w:hAnsi="Times New Roman" w:cs="Times New Roman"/>
          <w:sz w:val="24"/>
          <w:szCs w:val="24"/>
        </w:rPr>
        <w:t xml:space="preserve">ysis of the data </w:t>
      </w:r>
      <w:r w:rsidR="00AA04CF">
        <w:rPr>
          <w:rFonts w:ascii="Times New Roman" w:hAnsi="Times New Roman" w:cs="Times New Roman"/>
          <w:sz w:val="24"/>
          <w:szCs w:val="24"/>
        </w:rPr>
        <w:t>revealed</w:t>
      </w:r>
      <w:r w:rsidR="000A7666">
        <w:rPr>
          <w:rFonts w:ascii="Times New Roman" w:hAnsi="Times New Roman" w:cs="Times New Roman"/>
          <w:sz w:val="24"/>
          <w:szCs w:val="24"/>
        </w:rPr>
        <w:t xml:space="preserve"> that Roma households more often encounter economic difficulties to keep their accomodation. More than half of Roma households </w:t>
      </w:r>
      <w:r w:rsidRPr="001A3E6C">
        <w:rPr>
          <w:rFonts w:ascii="Times New Roman" w:hAnsi="Times New Roman" w:cs="Times New Roman"/>
          <w:sz w:val="24"/>
          <w:szCs w:val="24"/>
        </w:rPr>
        <w:t>(58</w:t>
      </w:r>
      <w:r w:rsidR="000A7666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1A3E6C">
        <w:rPr>
          <w:rFonts w:ascii="Times New Roman" w:hAnsi="Times New Roman" w:cs="Times New Roman"/>
          <w:sz w:val="24"/>
          <w:szCs w:val="24"/>
        </w:rPr>
        <w:t>)</w:t>
      </w:r>
      <w:r w:rsidR="001A3E6C" w:rsidRPr="001A3E6C">
        <w:rPr>
          <w:rFonts w:ascii="Times New Roman" w:hAnsi="Times New Roman" w:cs="Times New Roman"/>
          <w:sz w:val="24"/>
          <w:szCs w:val="24"/>
        </w:rPr>
        <w:t xml:space="preserve"> </w:t>
      </w:r>
      <w:r w:rsidR="000A7666">
        <w:rPr>
          <w:rFonts w:ascii="Times New Roman" w:hAnsi="Times New Roman" w:cs="Times New Roman"/>
          <w:sz w:val="24"/>
          <w:szCs w:val="24"/>
        </w:rPr>
        <w:t xml:space="preserve">missed 2 or more payments </w:t>
      </w:r>
      <w:r w:rsidR="00802524">
        <w:rPr>
          <w:rFonts w:ascii="Times New Roman" w:hAnsi="Times New Roman" w:cs="Times New Roman"/>
          <w:sz w:val="24"/>
          <w:szCs w:val="24"/>
        </w:rPr>
        <w:t>of utility bills</w:t>
      </w:r>
      <w:r w:rsidR="000A7666">
        <w:rPr>
          <w:rFonts w:ascii="Times New Roman" w:hAnsi="Times New Roman" w:cs="Times New Roman"/>
          <w:sz w:val="24"/>
          <w:szCs w:val="24"/>
        </w:rPr>
        <w:t xml:space="preserve"> due to the lack of </w:t>
      </w:r>
      <w:r w:rsidR="00802524">
        <w:rPr>
          <w:rFonts w:ascii="Times New Roman" w:hAnsi="Times New Roman" w:cs="Times New Roman"/>
          <w:sz w:val="24"/>
          <w:szCs w:val="24"/>
        </w:rPr>
        <w:t>resources</w:t>
      </w:r>
      <w:r w:rsidR="000A7666">
        <w:rPr>
          <w:rFonts w:ascii="Times New Roman" w:hAnsi="Times New Roman" w:cs="Times New Roman"/>
          <w:sz w:val="24"/>
          <w:szCs w:val="24"/>
        </w:rPr>
        <w:t>; o</w:t>
      </w:r>
      <w:r w:rsidR="00AA04CF">
        <w:rPr>
          <w:rFonts w:ascii="Times New Roman" w:hAnsi="Times New Roman" w:cs="Times New Roman"/>
          <w:sz w:val="24"/>
          <w:szCs w:val="24"/>
        </w:rPr>
        <w:t>ne</w:t>
      </w:r>
      <w:r w:rsidR="000A7666">
        <w:rPr>
          <w:rFonts w:ascii="Times New Roman" w:hAnsi="Times New Roman" w:cs="Times New Roman"/>
          <w:sz w:val="24"/>
          <w:szCs w:val="24"/>
        </w:rPr>
        <w:t xml:space="preserve"> third</w:t>
      </w:r>
      <w:r w:rsidRPr="001A3E6C">
        <w:rPr>
          <w:rFonts w:ascii="Times New Roman" w:hAnsi="Times New Roman" w:cs="Times New Roman"/>
          <w:sz w:val="24"/>
          <w:szCs w:val="24"/>
        </w:rPr>
        <w:t xml:space="preserve"> (36</w:t>
      </w:r>
      <w:r w:rsidR="000A7666">
        <w:rPr>
          <w:rFonts w:ascii="Times New Roman" w:hAnsi="Times New Roman" w:cs="Times New Roman"/>
          <w:sz w:val="24"/>
          <w:szCs w:val="24"/>
        </w:rPr>
        <w:t>%</w:t>
      </w:r>
      <w:r w:rsidRPr="001A3E6C">
        <w:rPr>
          <w:rFonts w:ascii="Times New Roman" w:hAnsi="Times New Roman" w:cs="Times New Roman"/>
          <w:sz w:val="24"/>
          <w:szCs w:val="24"/>
        </w:rPr>
        <w:t xml:space="preserve">) </w:t>
      </w:r>
      <w:r w:rsidR="000A7666">
        <w:rPr>
          <w:rFonts w:ascii="Times New Roman" w:hAnsi="Times New Roman" w:cs="Times New Roman"/>
          <w:sz w:val="24"/>
          <w:szCs w:val="24"/>
        </w:rPr>
        <w:t>missed 2 or more rent payments. Only o</w:t>
      </w:r>
      <w:r w:rsidR="00AA04CF">
        <w:rPr>
          <w:rFonts w:ascii="Times New Roman" w:hAnsi="Times New Roman" w:cs="Times New Roman"/>
          <w:sz w:val="24"/>
          <w:szCs w:val="24"/>
        </w:rPr>
        <w:t>ne</w:t>
      </w:r>
      <w:r w:rsidR="000A7666">
        <w:rPr>
          <w:rFonts w:ascii="Times New Roman" w:hAnsi="Times New Roman" w:cs="Times New Roman"/>
          <w:sz w:val="24"/>
          <w:szCs w:val="24"/>
        </w:rPr>
        <w:t xml:space="preserve"> fourth of Roma households could afford a </w:t>
      </w:r>
      <w:r w:rsidR="00802524">
        <w:rPr>
          <w:rFonts w:ascii="Times New Roman" w:hAnsi="Times New Roman" w:cs="Times New Roman"/>
          <w:sz w:val="24"/>
          <w:szCs w:val="24"/>
        </w:rPr>
        <w:t>holiday away from home</w:t>
      </w:r>
      <w:r w:rsidR="000A7666">
        <w:rPr>
          <w:rFonts w:ascii="Times New Roman" w:hAnsi="Times New Roman" w:cs="Times New Roman"/>
          <w:sz w:val="24"/>
          <w:szCs w:val="24"/>
        </w:rPr>
        <w:t xml:space="preserve"> </w:t>
      </w:r>
      <w:r w:rsidRPr="001A3E6C">
        <w:rPr>
          <w:rFonts w:ascii="Times New Roman" w:hAnsi="Times New Roman" w:cs="Times New Roman"/>
          <w:sz w:val="24"/>
          <w:szCs w:val="24"/>
        </w:rPr>
        <w:t>(</w:t>
      </w:r>
      <w:r w:rsidR="00802524">
        <w:rPr>
          <w:rFonts w:ascii="Times New Roman" w:hAnsi="Times New Roman" w:cs="Times New Roman"/>
          <w:sz w:val="24"/>
          <w:szCs w:val="24"/>
        </w:rPr>
        <w:t>national average</w:t>
      </w:r>
      <w:r w:rsidRPr="001A3E6C">
        <w:rPr>
          <w:rFonts w:ascii="Times New Roman" w:hAnsi="Times New Roman" w:cs="Times New Roman"/>
          <w:sz w:val="24"/>
          <w:szCs w:val="24"/>
        </w:rPr>
        <w:t xml:space="preserve"> </w:t>
      </w:r>
      <w:r w:rsidR="001A3E6C" w:rsidRPr="001A3E6C">
        <w:rPr>
          <w:rFonts w:ascii="Times New Roman" w:hAnsi="Times New Roman" w:cs="Times New Roman"/>
          <w:sz w:val="24"/>
          <w:szCs w:val="24"/>
        </w:rPr>
        <w:t>48</w:t>
      </w:r>
      <w:r w:rsidR="000A7666">
        <w:rPr>
          <w:rFonts w:ascii="Times New Roman" w:hAnsi="Times New Roman" w:cs="Times New Roman"/>
          <w:sz w:val="24"/>
          <w:szCs w:val="24"/>
        </w:rPr>
        <w:t>%</w:t>
      </w:r>
      <w:r w:rsidR="001A3E6C" w:rsidRPr="001A3E6C">
        <w:rPr>
          <w:rFonts w:ascii="Times New Roman" w:hAnsi="Times New Roman" w:cs="Times New Roman"/>
          <w:sz w:val="24"/>
          <w:szCs w:val="24"/>
        </w:rPr>
        <w:t xml:space="preserve">). </w:t>
      </w:r>
      <w:r w:rsidR="000A7666">
        <w:rPr>
          <w:rFonts w:ascii="Times New Roman" w:hAnsi="Times New Roman" w:cs="Times New Roman"/>
          <w:sz w:val="24"/>
          <w:szCs w:val="24"/>
        </w:rPr>
        <w:t xml:space="preserve">A proportion of Roma households that can not afford to </w:t>
      </w:r>
      <w:r w:rsidR="00802524">
        <w:rPr>
          <w:rFonts w:ascii="Times New Roman" w:hAnsi="Times New Roman" w:cs="Times New Roman"/>
          <w:sz w:val="24"/>
          <w:szCs w:val="24"/>
        </w:rPr>
        <w:t>have a meal with</w:t>
      </w:r>
      <w:r w:rsidR="000A7666">
        <w:rPr>
          <w:rFonts w:ascii="Times New Roman" w:hAnsi="Times New Roman" w:cs="Times New Roman"/>
          <w:sz w:val="24"/>
          <w:szCs w:val="24"/>
        </w:rPr>
        <w:t xml:space="preserve"> meat or fish or vegetarian </w:t>
      </w:r>
      <w:r w:rsidR="00802524">
        <w:rPr>
          <w:rFonts w:ascii="Times New Roman" w:hAnsi="Times New Roman" w:cs="Times New Roman"/>
          <w:sz w:val="24"/>
          <w:szCs w:val="24"/>
        </w:rPr>
        <w:t xml:space="preserve">equivalent </w:t>
      </w:r>
      <w:r w:rsidR="000A7666">
        <w:rPr>
          <w:rFonts w:ascii="Times New Roman" w:hAnsi="Times New Roman" w:cs="Times New Roman"/>
          <w:sz w:val="24"/>
          <w:szCs w:val="24"/>
        </w:rPr>
        <w:t>at least every second day is twice the national average (Roma 43%</w:t>
      </w:r>
      <w:r w:rsidR="00802524">
        <w:rPr>
          <w:rFonts w:ascii="Times New Roman" w:hAnsi="Times New Roman" w:cs="Times New Roman"/>
          <w:sz w:val="24"/>
          <w:szCs w:val="24"/>
        </w:rPr>
        <w:t>,</w:t>
      </w:r>
      <w:r w:rsidR="000A7666">
        <w:rPr>
          <w:rFonts w:ascii="Times New Roman" w:hAnsi="Times New Roman" w:cs="Times New Roman"/>
          <w:sz w:val="24"/>
          <w:szCs w:val="24"/>
        </w:rPr>
        <w:t xml:space="preserve"> </w:t>
      </w:r>
      <w:r w:rsidR="00802524">
        <w:rPr>
          <w:rFonts w:ascii="Times New Roman" w:hAnsi="Times New Roman" w:cs="Times New Roman"/>
          <w:sz w:val="24"/>
          <w:szCs w:val="24"/>
        </w:rPr>
        <w:t>n</w:t>
      </w:r>
      <w:r w:rsidR="000A7666">
        <w:rPr>
          <w:rFonts w:ascii="Times New Roman" w:hAnsi="Times New Roman" w:cs="Times New Roman"/>
          <w:sz w:val="24"/>
          <w:szCs w:val="24"/>
        </w:rPr>
        <w:t xml:space="preserve">ational average 21%). An absolute majority of Roma households </w:t>
      </w:r>
      <w:r w:rsidR="001A3E6C" w:rsidRPr="001A3E6C">
        <w:rPr>
          <w:rFonts w:ascii="Times New Roman" w:hAnsi="Times New Roman" w:cs="Times New Roman"/>
          <w:sz w:val="24"/>
          <w:szCs w:val="24"/>
        </w:rPr>
        <w:t>(92</w:t>
      </w:r>
      <w:r w:rsidR="000A7666">
        <w:rPr>
          <w:rFonts w:ascii="Times New Roman" w:hAnsi="Times New Roman" w:cs="Times New Roman"/>
          <w:sz w:val="24"/>
          <w:szCs w:val="24"/>
        </w:rPr>
        <w:t>%</w:t>
      </w:r>
      <w:r w:rsidR="001A3E6C" w:rsidRPr="001A3E6C">
        <w:rPr>
          <w:rFonts w:ascii="Times New Roman" w:hAnsi="Times New Roman" w:cs="Times New Roman"/>
          <w:sz w:val="24"/>
          <w:szCs w:val="24"/>
        </w:rPr>
        <w:t xml:space="preserve">) </w:t>
      </w:r>
      <w:r w:rsidR="001075FC">
        <w:rPr>
          <w:rFonts w:ascii="Times New Roman" w:hAnsi="Times New Roman" w:cs="Times New Roman"/>
          <w:sz w:val="24"/>
          <w:szCs w:val="24"/>
        </w:rPr>
        <w:t xml:space="preserve">would not be able to </w:t>
      </w:r>
      <w:r w:rsidR="00802524">
        <w:rPr>
          <w:rFonts w:ascii="Times New Roman" w:hAnsi="Times New Roman" w:cs="Times New Roman"/>
          <w:sz w:val="24"/>
          <w:szCs w:val="24"/>
        </w:rPr>
        <w:t>face</w:t>
      </w:r>
      <w:r w:rsidR="001075FC">
        <w:rPr>
          <w:rFonts w:ascii="Times New Roman" w:hAnsi="Times New Roman" w:cs="Times New Roman"/>
          <w:sz w:val="24"/>
          <w:szCs w:val="24"/>
        </w:rPr>
        <w:t xml:space="preserve"> unxepected </w:t>
      </w:r>
      <w:r w:rsidR="00802524">
        <w:rPr>
          <w:rFonts w:ascii="Times New Roman" w:hAnsi="Times New Roman" w:cs="Times New Roman"/>
          <w:sz w:val="24"/>
          <w:szCs w:val="24"/>
        </w:rPr>
        <w:t>expenses</w:t>
      </w:r>
      <w:r w:rsidR="001075FC">
        <w:rPr>
          <w:rFonts w:ascii="Times New Roman" w:hAnsi="Times New Roman" w:cs="Times New Roman"/>
          <w:sz w:val="24"/>
          <w:szCs w:val="24"/>
        </w:rPr>
        <w:t xml:space="preserve"> </w:t>
      </w:r>
      <w:r w:rsidR="001A3E6C" w:rsidRPr="001A3E6C">
        <w:rPr>
          <w:rFonts w:ascii="Times New Roman" w:hAnsi="Times New Roman" w:cs="Times New Roman"/>
          <w:sz w:val="24"/>
          <w:szCs w:val="24"/>
        </w:rPr>
        <w:t>(235 EUR).</w:t>
      </w:r>
    </w:p>
    <w:p w14:paraId="361D73C9" w14:textId="47730968" w:rsidR="001A3E6C" w:rsidRPr="001A3E6C" w:rsidRDefault="009C730D" w:rsidP="00B16BBA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to durable goods in Roma households, majority of them have a telepho</w:t>
      </w:r>
      <w:r w:rsidR="00AA04CF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(94%) and a TV set (90%). These indicators are just a little lower than the national average. There are more pronounced </w:t>
      </w:r>
      <w:r>
        <w:rPr>
          <w:rFonts w:ascii="Times New Roman" w:hAnsi="Times New Roman" w:cs="Times New Roman"/>
          <w:sz w:val="24"/>
          <w:szCs w:val="24"/>
        </w:rPr>
        <w:lastRenderedPageBreak/>
        <w:t>differences</w:t>
      </w:r>
      <w:r w:rsidR="00DB6C12">
        <w:rPr>
          <w:rFonts w:ascii="Times New Roman" w:hAnsi="Times New Roman" w:cs="Times New Roman"/>
          <w:sz w:val="24"/>
          <w:szCs w:val="24"/>
        </w:rPr>
        <w:t xml:space="preserve">, however, in the possession of other durable goods: </w:t>
      </w:r>
      <w:r w:rsidR="00802524">
        <w:rPr>
          <w:rFonts w:ascii="Times New Roman" w:hAnsi="Times New Roman" w:cs="Times New Roman"/>
          <w:sz w:val="24"/>
          <w:szCs w:val="24"/>
        </w:rPr>
        <w:t xml:space="preserve">a </w:t>
      </w:r>
      <w:r w:rsidR="00DB6C12">
        <w:rPr>
          <w:rFonts w:ascii="Times New Roman" w:hAnsi="Times New Roman" w:cs="Times New Roman"/>
          <w:sz w:val="24"/>
          <w:szCs w:val="24"/>
        </w:rPr>
        <w:t>washing machi</w:t>
      </w:r>
      <w:r w:rsidR="00AA04CF">
        <w:rPr>
          <w:rFonts w:ascii="Times New Roman" w:hAnsi="Times New Roman" w:cs="Times New Roman"/>
          <w:sz w:val="24"/>
          <w:szCs w:val="24"/>
        </w:rPr>
        <w:t>ne</w:t>
      </w:r>
      <w:r w:rsidR="00DB6C12">
        <w:rPr>
          <w:rFonts w:ascii="Times New Roman" w:hAnsi="Times New Roman" w:cs="Times New Roman"/>
          <w:sz w:val="24"/>
          <w:szCs w:val="24"/>
        </w:rPr>
        <w:t xml:space="preserve"> (Roma </w:t>
      </w:r>
      <w:r w:rsidR="00DB6C12">
        <w:rPr>
          <w:rFonts w:ascii="Times New Roman" w:hAnsi="Times New Roman" w:cs="Times New Roman"/>
          <w:sz w:val="24"/>
          <w:szCs w:val="24"/>
          <w:lang w:val="en-US"/>
        </w:rPr>
        <w:t xml:space="preserve">60%, national average 92%); </w:t>
      </w:r>
      <w:r w:rsidR="0080252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B6C12">
        <w:rPr>
          <w:rFonts w:ascii="Times New Roman" w:hAnsi="Times New Roman" w:cs="Times New Roman"/>
          <w:sz w:val="24"/>
          <w:szCs w:val="24"/>
          <w:lang w:val="en-US"/>
        </w:rPr>
        <w:t xml:space="preserve">computer (33 and 57%), and particularly a car (25 and 58%). </w:t>
      </w:r>
      <w:r w:rsidR="00DB6C12">
        <w:rPr>
          <w:rFonts w:ascii="Times New Roman" w:hAnsi="Times New Roman" w:cs="Times New Roman"/>
          <w:sz w:val="24"/>
          <w:szCs w:val="24"/>
        </w:rPr>
        <w:t xml:space="preserve">More details are presented in Table </w:t>
      </w:r>
      <w:r w:rsidR="00DB6C12">
        <w:rPr>
          <w:rFonts w:ascii="Times New Roman" w:hAnsi="Times New Roman" w:cs="Times New Roman"/>
          <w:sz w:val="24"/>
          <w:szCs w:val="24"/>
          <w:lang w:val="en-US"/>
        </w:rPr>
        <w:t xml:space="preserve">2 below. </w:t>
      </w:r>
    </w:p>
    <w:p w14:paraId="22EFB359" w14:textId="30E5D990" w:rsidR="00D5163D" w:rsidRPr="001A3E6C" w:rsidRDefault="00C9534C" w:rsidP="00B16BBA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</w:t>
      </w:r>
      <w:r w:rsidR="00D5163D" w:rsidRPr="001A3E6C">
        <w:rPr>
          <w:rFonts w:ascii="Times New Roman" w:hAnsi="Times New Roman" w:cs="Times New Roman"/>
          <w:sz w:val="24"/>
          <w:szCs w:val="24"/>
        </w:rPr>
        <w:t xml:space="preserve">. </w:t>
      </w:r>
      <w:r w:rsidR="00227295">
        <w:rPr>
          <w:rFonts w:ascii="Times New Roman" w:hAnsi="Times New Roman" w:cs="Times New Roman"/>
          <w:sz w:val="24"/>
          <w:szCs w:val="24"/>
        </w:rPr>
        <w:t>Material Deprivation Indicators</w:t>
      </w:r>
      <w:r w:rsidR="00D5163D" w:rsidRPr="001A3E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716"/>
      </w:tblGrid>
      <w:tr w:rsidR="00736BE4" w:rsidRPr="001A3E6C" w14:paraId="4F087E4D" w14:textId="77777777" w:rsidTr="001A3E6C">
        <w:tc>
          <w:tcPr>
            <w:tcW w:w="5070" w:type="dxa"/>
            <w:shd w:val="clear" w:color="auto" w:fill="auto"/>
          </w:tcPr>
          <w:p w14:paraId="60C02231" w14:textId="105BB813" w:rsidR="00736BE4" w:rsidRPr="001A3E6C" w:rsidRDefault="00227295" w:rsidP="00227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Economic difficulties</w:t>
            </w:r>
            <w:r w:rsidR="00736BE4" w:rsidRPr="001A3E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5EC88DE" w14:textId="3BA85064" w:rsidR="00736BE4" w:rsidRPr="001A3E6C" w:rsidRDefault="00227295" w:rsidP="0022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Roma Survey</w:t>
            </w:r>
            <w:r w:rsidR="00736BE4" w:rsidRPr="001A3E6C">
              <w:rPr>
                <w:rFonts w:ascii="Times New Roman" w:hAnsi="Times New Roman" w:cs="Times New Roman"/>
                <w:b/>
              </w:rPr>
              <w:t xml:space="preserve"> 2015 (</w:t>
            </w:r>
            <w:r>
              <w:rPr>
                <w:rFonts w:ascii="Times New Roman" w:hAnsi="Times New Roman" w:cs="Times New Roman"/>
                <w:b/>
              </w:rPr>
              <w:t>%</w:t>
            </w:r>
            <w:r w:rsidR="00736BE4" w:rsidRPr="001A3E6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16" w:type="dxa"/>
            <w:shd w:val="clear" w:color="auto" w:fill="auto"/>
          </w:tcPr>
          <w:p w14:paraId="1E4B890A" w14:textId="4E43E490" w:rsidR="001A3E6C" w:rsidRPr="001A3E6C" w:rsidRDefault="00227295" w:rsidP="0073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Income and </w:t>
            </w:r>
            <w:r w:rsidR="00577E73">
              <w:rPr>
                <w:rFonts w:ascii="Times New Roman" w:hAnsi="Times New Roman" w:cs="Times New Roman"/>
                <w:b/>
              </w:rPr>
              <w:t xml:space="preserve">Living Conditions Survey </w:t>
            </w:r>
          </w:p>
          <w:p w14:paraId="52D4F6AF" w14:textId="4E3DC156" w:rsidR="00736BE4" w:rsidRPr="001A3E6C" w:rsidRDefault="00736BE4" w:rsidP="0022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E6C">
              <w:rPr>
                <w:rFonts w:ascii="Times New Roman" w:hAnsi="Times New Roman" w:cs="Times New Roman"/>
                <w:b/>
              </w:rPr>
              <w:t xml:space="preserve"> 2013 (</w:t>
            </w:r>
            <w:r w:rsidR="00227295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736BE4" w:rsidRPr="001A3E6C" w14:paraId="6037C00B" w14:textId="77777777" w:rsidTr="001A3E6C">
        <w:tc>
          <w:tcPr>
            <w:tcW w:w="5070" w:type="dxa"/>
            <w:shd w:val="clear" w:color="auto" w:fill="auto"/>
          </w:tcPr>
          <w:p w14:paraId="13E22AF0" w14:textId="68E1C0D7" w:rsidR="00736BE4" w:rsidRPr="001A3E6C" w:rsidRDefault="00802524" w:rsidP="00D51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Households that missed deadli</w:t>
            </w:r>
            <w:r w:rsidR="00AA04CF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>s for mortgage or rent payments due to the lack of resources</w:t>
            </w:r>
            <w:r w:rsidR="00D5163D" w:rsidRPr="001A3E6C">
              <w:rPr>
                <w:rFonts w:ascii="Times New Roman" w:hAnsi="Times New Roman" w:cs="Times New Roman"/>
              </w:rPr>
              <w:t xml:space="preserve"> (</w:t>
            </w:r>
            <w:r w:rsidR="00665A4A">
              <w:rPr>
                <w:rFonts w:ascii="Times New Roman" w:hAnsi="Times New Roman" w:cs="Times New Roman"/>
              </w:rPr>
              <w:t xml:space="preserve">answer “Yes, </w:t>
            </w:r>
            <w:r w:rsidR="00665A4A">
              <w:rPr>
                <w:rFonts w:ascii="Times New Roman" w:hAnsi="Times New Roman" w:cs="Times New Roman"/>
                <w:lang w:val="en-US"/>
              </w:rPr>
              <w:t>2 or more times”</w:t>
            </w:r>
            <w:r w:rsidR="00092F4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696004B" w14:textId="77777777" w:rsidR="00D5163D" w:rsidRPr="001A3E6C" w:rsidRDefault="00D5163D" w:rsidP="00D51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396258C" w14:textId="77777777" w:rsidR="00736BE4" w:rsidRPr="001A3E6C" w:rsidRDefault="00736BE4" w:rsidP="0073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16" w:type="dxa"/>
            <w:shd w:val="clear" w:color="auto" w:fill="auto"/>
          </w:tcPr>
          <w:p w14:paraId="522B3FB4" w14:textId="5F1DDA14" w:rsidR="00736BE4" w:rsidRPr="001A3E6C" w:rsidRDefault="00DB6C12" w:rsidP="007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36BE4" w:rsidRPr="001A3E6C">
              <w:rPr>
                <w:rFonts w:ascii="Times New Roman" w:hAnsi="Times New Roman" w:cs="Times New Roman"/>
              </w:rPr>
              <w:t>3</w:t>
            </w:r>
          </w:p>
        </w:tc>
      </w:tr>
      <w:tr w:rsidR="00736BE4" w:rsidRPr="001A3E6C" w14:paraId="3E313A5F" w14:textId="77777777" w:rsidTr="001A3E6C">
        <w:tc>
          <w:tcPr>
            <w:tcW w:w="5070" w:type="dxa"/>
            <w:shd w:val="clear" w:color="auto" w:fill="auto"/>
          </w:tcPr>
          <w:p w14:paraId="55CF562A" w14:textId="71914601" w:rsidR="00736BE4" w:rsidRPr="001A3E6C" w:rsidRDefault="00613F2A" w:rsidP="00D51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Households that missed deadli</w:t>
            </w:r>
            <w:r w:rsidR="00AA04CF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>s for utility bills due to teh lack of resources</w:t>
            </w:r>
            <w:r w:rsidR="00736BE4" w:rsidRPr="001A3E6C">
              <w:rPr>
                <w:rFonts w:ascii="Times New Roman" w:hAnsi="Times New Roman" w:cs="Times New Roman"/>
              </w:rPr>
              <w:t xml:space="preserve"> </w:t>
            </w:r>
            <w:r w:rsidR="00092F47" w:rsidRPr="001A3E6C">
              <w:rPr>
                <w:rFonts w:ascii="Times New Roman" w:hAnsi="Times New Roman" w:cs="Times New Roman"/>
              </w:rPr>
              <w:t>(</w:t>
            </w:r>
            <w:r w:rsidR="00092F47">
              <w:rPr>
                <w:rFonts w:ascii="Times New Roman" w:hAnsi="Times New Roman" w:cs="Times New Roman"/>
              </w:rPr>
              <w:t xml:space="preserve">answer “Yes, </w:t>
            </w:r>
            <w:r w:rsidR="00092F47">
              <w:rPr>
                <w:rFonts w:ascii="Times New Roman" w:hAnsi="Times New Roman" w:cs="Times New Roman"/>
                <w:lang w:val="en-US"/>
              </w:rPr>
              <w:t>2 or more times”)</w:t>
            </w:r>
          </w:p>
          <w:p w14:paraId="0E295FE1" w14:textId="77777777" w:rsidR="00D5163D" w:rsidRPr="001A3E6C" w:rsidRDefault="00D5163D" w:rsidP="00D51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44FED50" w14:textId="77777777" w:rsidR="00736BE4" w:rsidRPr="001A3E6C" w:rsidRDefault="00736BE4" w:rsidP="0073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16" w:type="dxa"/>
            <w:shd w:val="clear" w:color="auto" w:fill="auto"/>
          </w:tcPr>
          <w:p w14:paraId="69500734" w14:textId="77777777" w:rsidR="00736BE4" w:rsidRPr="001A3E6C" w:rsidRDefault="00736BE4" w:rsidP="007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6</w:t>
            </w:r>
          </w:p>
        </w:tc>
      </w:tr>
      <w:tr w:rsidR="00736BE4" w:rsidRPr="001A3E6C" w14:paraId="267D620E" w14:textId="77777777" w:rsidTr="001A3E6C">
        <w:tc>
          <w:tcPr>
            <w:tcW w:w="5070" w:type="dxa"/>
            <w:shd w:val="clear" w:color="auto" w:fill="auto"/>
          </w:tcPr>
          <w:p w14:paraId="0199183F" w14:textId="47D9FE77" w:rsidR="00736BE4" w:rsidRPr="001A3E6C" w:rsidRDefault="00613F2A" w:rsidP="00736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Households that can’t afford to spend at least a weeks’ holiday away from home</w:t>
            </w:r>
          </w:p>
          <w:p w14:paraId="6943D22C" w14:textId="77777777" w:rsidR="00736BE4" w:rsidRPr="001A3E6C" w:rsidRDefault="00736BE4" w:rsidP="00736BE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69E2BF0B" w14:textId="77777777" w:rsidR="00736BE4" w:rsidRPr="001A3E6C" w:rsidRDefault="00370A18" w:rsidP="0073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16" w:type="dxa"/>
            <w:shd w:val="clear" w:color="auto" w:fill="auto"/>
          </w:tcPr>
          <w:p w14:paraId="3AC8053A" w14:textId="77777777" w:rsidR="00736BE4" w:rsidRPr="001A3E6C" w:rsidRDefault="00736BE4" w:rsidP="007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52</w:t>
            </w:r>
          </w:p>
        </w:tc>
      </w:tr>
      <w:tr w:rsidR="00736BE4" w:rsidRPr="001A3E6C" w14:paraId="6108960A" w14:textId="77777777" w:rsidTr="001A3E6C">
        <w:tc>
          <w:tcPr>
            <w:tcW w:w="5070" w:type="dxa"/>
            <w:shd w:val="clear" w:color="auto" w:fill="auto"/>
          </w:tcPr>
          <w:p w14:paraId="332780B6" w14:textId="46A6E270" w:rsidR="00736BE4" w:rsidRPr="001A3E6C" w:rsidRDefault="00613F2A" w:rsidP="00736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Households that can’t afford adequate heating of their home </w:t>
            </w:r>
          </w:p>
          <w:p w14:paraId="0D81A6DA" w14:textId="77777777" w:rsidR="00370A18" w:rsidRPr="001A3E6C" w:rsidRDefault="00370A18" w:rsidP="00736BE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41EABFC7" w14:textId="77777777" w:rsidR="00736BE4" w:rsidRPr="001A3E6C" w:rsidRDefault="00370A18" w:rsidP="0073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16" w:type="dxa"/>
            <w:shd w:val="clear" w:color="auto" w:fill="auto"/>
          </w:tcPr>
          <w:p w14:paraId="65CC132D" w14:textId="77777777" w:rsidR="00736BE4" w:rsidRPr="001A3E6C" w:rsidRDefault="00370A18" w:rsidP="007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31</w:t>
            </w:r>
          </w:p>
        </w:tc>
      </w:tr>
      <w:tr w:rsidR="00370A18" w:rsidRPr="001A3E6C" w14:paraId="27110C6F" w14:textId="77777777" w:rsidTr="001A3E6C">
        <w:trPr>
          <w:trHeight w:val="269"/>
        </w:trPr>
        <w:tc>
          <w:tcPr>
            <w:tcW w:w="5070" w:type="dxa"/>
            <w:shd w:val="clear" w:color="auto" w:fill="auto"/>
          </w:tcPr>
          <w:p w14:paraId="2170DEAB" w14:textId="713A3FB3" w:rsidR="00370A18" w:rsidRPr="001A3E6C" w:rsidRDefault="00613F2A" w:rsidP="00613F2A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Households that can’t afford to have a meal with meat, fish or vegetarian equivalent at least every second day</w:t>
            </w:r>
          </w:p>
        </w:tc>
        <w:tc>
          <w:tcPr>
            <w:tcW w:w="1842" w:type="dxa"/>
            <w:shd w:val="clear" w:color="auto" w:fill="auto"/>
          </w:tcPr>
          <w:p w14:paraId="021B0238" w14:textId="77777777" w:rsidR="00370A18" w:rsidRPr="001A3E6C" w:rsidRDefault="00370A18" w:rsidP="00FB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16" w:type="dxa"/>
            <w:shd w:val="clear" w:color="auto" w:fill="auto"/>
          </w:tcPr>
          <w:p w14:paraId="6130C561" w14:textId="77777777" w:rsidR="00370A18" w:rsidRPr="001A3E6C" w:rsidRDefault="00370A18" w:rsidP="0037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21</w:t>
            </w:r>
          </w:p>
        </w:tc>
      </w:tr>
      <w:tr w:rsidR="00370A18" w:rsidRPr="001A3E6C" w14:paraId="5199D265" w14:textId="77777777" w:rsidTr="001A3E6C">
        <w:tc>
          <w:tcPr>
            <w:tcW w:w="5070" w:type="dxa"/>
            <w:shd w:val="clear" w:color="auto" w:fill="auto"/>
          </w:tcPr>
          <w:p w14:paraId="5416C1E9" w14:textId="3936124A" w:rsidR="00370A18" w:rsidRPr="001A3E6C" w:rsidRDefault="00613F2A" w:rsidP="00736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Households that couldn’t </w:t>
            </w:r>
            <w:r w:rsidR="00574B51">
              <w:rPr>
                <w:rFonts w:ascii="Times New Roman" w:hAnsi="Times New Roman" w:cs="Times New Roman"/>
              </w:rPr>
              <w:t>afford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="00A645F0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>xpected expenses</w:t>
            </w:r>
          </w:p>
          <w:p w14:paraId="0819DB58" w14:textId="77777777" w:rsidR="00370A18" w:rsidRPr="001A3E6C" w:rsidRDefault="00370A18" w:rsidP="00736BE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63006E52" w14:textId="77777777" w:rsidR="00370A18" w:rsidRPr="001A3E6C" w:rsidRDefault="00370A18" w:rsidP="00FB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16" w:type="dxa"/>
            <w:shd w:val="clear" w:color="auto" w:fill="auto"/>
          </w:tcPr>
          <w:p w14:paraId="22953833" w14:textId="77777777" w:rsidR="00370A18" w:rsidRPr="001A3E6C" w:rsidRDefault="00370A18" w:rsidP="0037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59</w:t>
            </w:r>
          </w:p>
        </w:tc>
      </w:tr>
      <w:tr w:rsidR="00736BE4" w:rsidRPr="001A3E6C" w14:paraId="0F9F8CF6" w14:textId="77777777" w:rsidTr="001A3E6C">
        <w:tc>
          <w:tcPr>
            <w:tcW w:w="5070" w:type="dxa"/>
            <w:shd w:val="clear" w:color="auto" w:fill="auto"/>
          </w:tcPr>
          <w:p w14:paraId="15294CAD" w14:textId="3941CF1D" w:rsidR="00736BE4" w:rsidRPr="001A3E6C" w:rsidRDefault="00B140AB" w:rsidP="00D5163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Durable goods</w:t>
            </w:r>
          </w:p>
        </w:tc>
        <w:tc>
          <w:tcPr>
            <w:tcW w:w="1842" w:type="dxa"/>
            <w:shd w:val="clear" w:color="auto" w:fill="auto"/>
          </w:tcPr>
          <w:p w14:paraId="6C6F5679" w14:textId="77777777" w:rsidR="00736BE4" w:rsidRPr="001A3E6C" w:rsidRDefault="00736BE4" w:rsidP="00736BE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716" w:type="dxa"/>
            <w:shd w:val="clear" w:color="auto" w:fill="auto"/>
          </w:tcPr>
          <w:p w14:paraId="065540B1" w14:textId="77777777" w:rsidR="00736BE4" w:rsidRPr="001A3E6C" w:rsidRDefault="00736BE4" w:rsidP="00736BE4">
            <w:pPr>
              <w:spacing w:after="0" w:line="240" w:lineRule="auto"/>
              <w:jc w:val="center"/>
            </w:pPr>
          </w:p>
        </w:tc>
      </w:tr>
      <w:tr w:rsidR="00736BE4" w:rsidRPr="001A3E6C" w14:paraId="1239282D" w14:textId="77777777" w:rsidTr="001A3E6C">
        <w:tc>
          <w:tcPr>
            <w:tcW w:w="5070" w:type="dxa"/>
            <w:shd w:val="clear" w:color="auto" w:fill="auto"/>
          </w:tcPr>
          <w:p w14:paraId="76EF77DB" w14:textId="0AA28006" w:rsidR="00736BE4" w:rsidRPr="001A3E6C" w:rsidRDefault="00B140AB" w:rsidP="00736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</w:t>
            </w:r>
            <w:r w:rsidR="00AA04CF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 xml:space="preserve"> (including m</w:t>
            </w:r>
            <w:r w:rsidR="00613F2A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bile</w:t>
            </w:r>
            <w:r w:rsidR="00613F2A">
              <w:rPr>
                <w:rFonts w:ascii="Times New Roman" w:hAnsi="Times New Roman" w:cs="Times New Roman"/>
              </w:rPr>
              <w:t xml:space="preserve"> pho</w:t>
            </w:r>
            <w:r w:rsidR="00AA04CF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BD5F921" w14:textId="77777777" w:rsidR="00D5163D" w:rsidRPr="001A3E6C" w:rsidRDefault="00D5163D" w:rsidP="00736BE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3AC34878" w14:textId="77777777" w:rsidR="00736BE4" w:rsidRPr="001A3E6C" w:rsidRDefault="00D5163D" w:rsidP="0073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16" w:type="dxa"/>
            <w:shd w:val="clear" w:color="auto" w:fill="auto"/>
          </w:tcPr>
          <w:p w14:paraId="70C0097E" w14:textId="77777777" w:rsidR="00736BE4" w:rsidRPr="001A3E6C" w:rsidRDefault="00D5163D" w:rsidP="007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96</w:t>
            </w:r>
          </w:p>
        </w:tc>
      </w:tr>
      <w:tr w:rsidR="00736BE4" w:rsidRPr="001A3E6C" w14:paraId="39D5A853" w14:textId="77777777" w:rsidTr="001A3E6C">
        <w:tc>
          <w:tcPr>
            <w:tcW w:w="5070" w:type="dxa"/>
            <w:shd w:val="clear" w:color="auto" w:fill="auto"/>
          </w:tcPr>
          <w:p w14:paraId="35C71480" w14:textId="29593A51" w:rsidR="00736BE4" w:rsidRPr="001A3E6C" w:rsidRDefault="00B140AB" w:rsidP="00736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Colour TV</w:t>
            </w:r>
          </w:p>
          <w:p w14:paraId="316A3749" w14:textId="77777777" w:rsidR="00D5163D" w:rsidRPr="001A3E6C" w:rsidRDefault="00D5163D" w:rsidP="00736BE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52D7BB9E" w14:textId="77777777" w:rsidR="00736BE4" w:rsidRPr="001A3E6C" w:rsidRDefault="00D5163D" w:rsidP="0073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16" w:type="dxa"/>
            <w:shd w:val="clear" w:color="auto" w:fill="auto"/>
          </w:tcPr>
          <w:p w14:paraId="39457CE8" w14:textId="77777777" w:rsidR="00736BE4" w:rsidRPr="001A3E6C" w:rsidRDefault="00D5163D" w:rsidP="007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99</w:t>
            </w:r>
          </w:p>
        </w:tc>
      </w:tr>
      <w:tr w:rsidR="001A3E6C" w:rsidRPr="001A3E6C" w14:paraId="0794F1F4" w14:textId="77777777" w:rsidTr="001A3E6C">
        <w:tc>
          <w:tcPr>
            <w:tcW w:w="5070" w:type="dxa"/>
            <w:shd w:val="clear" w:color="auto" w:fill="auto"/>
          </w:tcPr>
          <w:p w14:paraId="54A73C09" w14:textId="75952922" w:rsidR="001A3E6C" w:rsidRPr="001A3E6C" w:rsidRDefault="00B140AB" w:rsidP="00736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</w:t>
            </w:r>
          </w:p>
          <w:p w14:paraId="2EB714D7" w14:textId="77777777" w:rsidR="001A3E6C" w:rsidRPr="001A3E6C" w:rsidRDefault="001A3E6C" w:rsidP="00736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0A74157" w14:textId="77777777" w:rsidR="001A3E6C" w:rsidRPr="001A3E6C" w:rsidRDefault="001A3E6C" w:rsidP="0073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16" w:type="dxa"/>
            <w:shd w:val="clear" w:color="auto" w:fill="auto"/>
          </w:tcPr>
          <w:p w14:paraId="6B827A26" w14:textId="77777777" w:rsidR="001A3E6C" w:rsidRPr="001A3E6C" w:rsidRDefault="001A3E6C" w:rsidP="007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57</w:t>
            </w:r>
          </w:p>
        </w:tc>
      </w:tr>
      <w:tr w:rsidR="00736BE4" w:rsidRPr="001A3E6C" w14:paraId="4E27A8EC" w14:textId="77777777" w:rsidTr="001A3E6C">
        <w:tc>
          <w:tcPr>
            <w:tcW w:w="5070" w:type="dxa"/>
            <w:shd w:val="clear" w:color="auto" w:fill="auto"/>
          </w:tcPr>
          <w:p w14:paraId="7812D1B6" w14:textId="45421AF2" w:rsidR="00736BE4" w:rsidRPr="001A3E6C" w:rsidRDefault="00B140AB" w:rsidP="00736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Washing machi</w:t>
            </w:r>
            <w:r w:rsidR="00AA04CF">
              <w:rPr>
                <w:rFonts w:ascii="Times New Roman" w:hAnsi="Times New Roman" w:cs="Times New Roman"/>
              </w:rPr>
              <w:t>ne</w:t>
            </w:r>
          </w:p>
          <w:p w14:paraId="05043C8A" w14:textId="77777777" w:rsidR="00D5163D" w:rsidRPr="001A3E6C" w:rsidRDefault="00D5163D" w:rsidP="00736BE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0E9332B5" w14:textId="77777777" w:rsidR="00736BE4" w:rsidRPr="001A3E6C" w:rsidRDefault="00D5163D" w:rsidP="0073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16" w:type="dxa"/>
            <w:shd w:val="clear" w:color="auto" w:fill="auto"/>
          </w:tcPr>
          <w:p w14:paraId="400D028D" w14:textId="77777777" w:rsidR="00736BE4" w:rsidRPr="001A3E6C" w:rsidRDefault="00D5163D" w:rsidP="007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92</w:t>
            </w:r>
          </w:p>
        </w:tc>
      </w:tr>
      <w:tr w:rsidR="00D5163D" w:rsidRPr="001A3E6C" w14:paraId="313FFDFA" w14:textId="77777777" w:rsidTr="001A3E6C">
        <w:tc>
          <w:tcPr>
            <w:tcW w:w="5070" w:type="dxa"/>
            <w:shd w:val="clear" w:color="auto" w:fill="auto"/>
          </w:tcPr>
          <w:p w14:paraId="62884D6F" w14:textId="05D4591C" w:rsidR="00D5163D" w:rsidRPr="001A3E6C" w:rsidRDefault="00B140AB" w:rsidP="00736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 </w:t>
            </w:r>
          </w:p>
          <w:p w14:paraId="220F8427" w14:textId="77777777" w:rsidR="00D5163D" w:rsidRPr="001A3E6C" w:rsidRDefault="00D5163D" w:rsidP="00736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84D8410" w14:textId="77777777" w:rsidR="00D5163D" w:rsidRPr="001A3E6C" w:rsidRDefault="00D5163D" w:rsidP="0073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6" w:type="dxa"/>
            <w:shd w:val="clear" w:color="auto" w:fill="auto"/>
          </w:tcPr>
          <w:p w14:paraId="60D046FB" w14:textId="77777777" w:rsidR="00D5163D" w:rsidRPr="001A3E6C" w:rsidRDefault="00D5163D" w:rsidP="007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E6C">
              <w:rPr>
                <w:rFonts w:ascii="Times New Roman" w:hAnsi="Times New Roman" w:cs="Times New Roman"/>
              </w:rPr>
              <w:t>58</w:t>
            </w:r>
          </w:p>
        </w:tc>
      </w:tr>
    </w:tbl>
    <w:p w14:paraId="7EFF1DC8" w14:textId="77777777" w:rsidR="00736BE4" w:rsidRDefault="00736BE4" w:rsidP="00B16BBA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268A2E" w14:textId="77777777" w:rsidR="00202348" w:rsidRPr="001A3E6C" w:rsidRDefault="00202348" w:rsidP="00B16BBA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8FB864" w14:textId="5A6D7086" w:rsidR="002E76FA" w:rsidRDefault="00577E73" w:rsidP="00B16BBA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Disposable income of households</w:t>
      </w:r>
      <w:r w:rsidR="00ED01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10B" w:rsidRPr="000D410B">
        <w:rPr>
          <w:rFonts w:ascii="Times New Roman" w:hAnsi="Times New Roman" w:cs="Times New Roman"/>
          <w:sz w:val="24"/>
          <w:szCs w:val="24"/>
        </w:rPr>
        <w:t>Equival</w:t>
      </w:r>
      <w:r w:rsidR="006748A7">
        <w:rPr>
          <w:rFonts w:ascii="Times New Roman" w:hAnsi="Times New Roman" w:cs="Times New Roman"/>
          <w:sz w:val="24"/>
          <w:szCs w:val="24"/>
        </w:rPr>
        <w:t xml:space="preserve">ised disposable </w:t>
      </w:r>
      <w:r w:rsidR="00ED0112">
        <w:rPr>
          <w:rFonts w:ascii="Times New Roman" w:hAnsi="Times New Roman" w:cs="Times New Roman"/>
          <w:sz w:val="24"/>
          <w:szCs w:val="24"/>
        </w:rPr>
        <w:t>income of households is instrume</w:t>
      </w:r>
      <w:r w:rsidR="006748A7">
        <w:rPr>
          <w:rFonts w:ascii="Times New Roman" w:hAnsi="Times New Roman" w:cs="Times New Roman"/>
          <w:sz w:val="24"/>
          <w:szCs w:val="24"/>
        </w:rPr>
        <w:t>ntal for the calculation of the at-risk-of-povery rate</w:t>
      </w:r>
      <w:r w:rsidR="00ED0112">
        <w:rPr>
          <w:rFonts w:ascii="Times New Roman" w:hAnsi="Times New Roman" w:cs="Times New Roman"/>
          <w:sz w:val="24"/>
          <w:szCs w:val="24"/>
        </w:rPr>
        <w:t>.</w:t>
      </w:r>
      <w:r w:rsidR="00FB5F1B">
        <w:rPr>
          <w:rFonts w:ascii="Times New Roman" w:hAnsi="Times New Roman" w:cs="Times New Roman"/>
          <w:sz w:val="24"/>
          <w:szCs w:val="24"/>
        </w:rPr>
        <w:t xml:space="preserve"> </w:t>
      </w:r>
      <w:r w:rsidR="001306DF">
        <w:rPr>
          <w:rFonts w:ascii="Times New Roman" w:hAnsi="Times New Roman" w:cs="Times New Roman"/>
          <w:sz w:val="24"/>
          <w:szCs w:val="24"/>
        </w:rPr>
        <w:t>The Roma S</w:t>
      </w:r>
      <w:r w:rsidR="00ED0112">
        <w:rPr>
          <w:rFonts w:ascii="Times New Roman" w:hAnsi="Times New Roman" w:cs="Times New Roman"/>
          <w:sz w:val="24"/>
          <w:szCs w:val="24"/>
        </w:rPr>
        <w:t xml:space="preserve">urvey data </w:t>
      </w:r>
      <w:r w:rsidR="001306DF">
        <w:rPr>
          <w:rFonts w:ascii="Times New Roman" w:hAnsi="Times New Roman" w:cs="Times New Roman"/>
          <w:sz w:val="24"/>
          <w:szCs w:val="24"/>
        </w:rPr>
        <w:t>found</w:t>
      </w:r>
      <w:r w:rsidR="00ED0112">
        <w:rPr>
          <w:rFonts w:ascii="Times New Roman" w:hAnsi="Times New Roman" w:cs="Times New Roman"/>
          <w:sz w:val="24"/>
          <w:szCs w:val="24"/>
        </w:rPr>
        <w:t xml:space="preserve"> that the average disposable income of Roma households </w:t>
      </w:r>
      <w:r w:rsidR="006748A7">
        <w:rPr>
          <w:rFonts w:ascii="Times New Roman" w:hAnsi="Times New Roman" w:cs="Times New Roman"/>
          <w:sz w:val="24"/>
          <w:szCs w:val="24"/>
        </w:rPr>
        <w:t>is</w:t>
      </w:r>
      <w:r w:rsidR="00ED0112">
        <w:rPr>
          <w:rFonts w:ascii="Times New Roman" w:hAnsi="Times New Roman" w:cs="Times New Roman"/>
          <w:sz w:val="24"/>
          <w:szCs w:val="24"/>
        </w:rPr>
        <w:t xml:space="preserve"> significanlty lower than the overal national indicators (Table </w:t>
      </w:r>
      <w:r w:rsidR="00ED0112">
        <w:rPr>
          <w:rFonts w:ascii="Times New Roman" w:hAnsi="Times New Roman" w:cs="Times New Roman"/>
          <w:sz w:val="24"/>
          <w:szCs w:val="24"/>
          <w:lang w:val="en-US"/>
        </w:rPr>
        <w:t xml:space="preserve">3). </w:t>
      </w:r>
      <w:r w:rsidR="00ED0112">
        <w:rPr>
          <w:rFonts w:ascii="Times New Roman" w:hAnsi="Times New Roman" w:cs="Times New Roman"/>
          <w:sz w:val="24"/>
          <w:szCs w:val="24"/>
        </w:rPr>
        <w:t>The average monthly</w:t>
      </w:r>
      <w:r w:rsidR="00AA04CF">
        <w:rPr>
          <w:rFonts w:ascii="Times New Roman" w:hAnsi="Times New Roman" w:cs="Times New Roman"/>
          <w:sz w:val="24"/>
          <w:szCs w:val="24"/>
        </w:rPr>
        <w:t xml:space="preserve"> income per member of Roma hous</w:t>
      </w:r>
      <w:r w:rsidR="00ED0112">
        <w:rPr>
          <w:rFonts w:ascii="Times New Roman" w:hAnsi="Times New Roman" w:cs="Times New Roman"/>
          <w:sz w:val="24"/>
          <w:szCs w:val="24"/>
        </w:rPr>
        <w:t xml:space="preserve">ehold is </w:t>
      </w:r>
      <w:r w:rsidR="00FB5F1B">
        <w:rPr>
          <w:rFonts w:ascii="Times New Roman" w:hAnsi="Times New Roman" w:cs="Times New Roman"/>
          <w:sz w:val="24"/>
          <w:szCs w:val="24"/>
        </w:rPr>
        <w:t>78 EUR (</w:t>
      </w:r>
      <w:r w:rsidR="00ED0112">
        <w:rPr>
          <w:rFonts w:ascii="Times New Roman" w:hAnsi="Times New Roman" w:cs="Times New Roman"/>
          <w:sz w:val="24"/>
          <w:szCs w:val="24"/>
        </w:rPr>
        <w:t>national average</w:t>
      </w:r>
      <w:r w:rsidR="00FB5F1B">
        <w:rPr>
          <w:rFonts w:ascii="Times New Roman" w:hAnsi="Times New Roman" w:cs="Times New Roman"/>
          <w:sz w:val="24"/>
          <w:szCs w:val="24"/>
        </w:rPr>
        <w:t xml:space="preserve"> 326 EUR), </w:t>
      </w:r>
      <w:r w:rsidR="00505B04">
        <w:rPr>
          <w:rFonts w:ascii="Times New Roman" w:hAnsi="Times New Roman" w:cs="Times New Roman"/>
          <w:sz w:val="24"/>
          <w:szCs w:val="24"/>
        </w:rPr>
        <w:t>and</w:t>
      </w:r>
      <w:r w:rsidR="00ED0112">
        <w:rPr>
          <w:rFonts w:ascii="Times New Roman" w:hAnsi="Times New Roman" w:cs="Times New Roman"/>
          <w:sz w:val="24"/>
          <w:szCs w:val="24"/>
        </w:rPr>
        <w:t xml:space="preserve"> </w:t>
      </w:r>
      <w:r w:rsidR="00505B04">
        <w:rPr>
          <w:rFonts w:ascii="Times New Roman" w:hAnsi="Times New Roman" w:cs="Times New Roman"/>
          <w:sz w:val="24"/>
          <w:szCs w:val="24"/>
        </w:rPr>
        <w:t xml:space="preserve">the average income per Roma household is </w:t>
      </w:r>
      <w:r w:rsidR="00FB5F1B">
        <w:rPr>
          <w:rFonts w:ascii="Times New Roman" w:hAnsi="Times New Roman" w:cs="Times New Roman"/>
          <w:sz w:val="24"/>
          <w:szCs w:val="24"/>
        </w:rPr>
        <w:t>313 EUR (</w:t>
      </w:r>
      <w:r w:rsidR="00505B04">
        <w:rPr>
          <w:rFonts w:ascii="Times New Roman" w:hAnsi="Times New Roman" w:cs="Times New Roman"/>
          <w:sz w:val="24"/>
          <w:szCs w:val="24"/>
        </w:rPr>
        <w:t xml:space="preserve">the median of </w:t>
      </w:r>
      <w:r w:rsidR="00FB5F1B">
        <w:rPr>
          <w:rFonts w:ascii="Times New Roman" w:hAnsi="Times New Roman" w:cs="Times New Roman"/>
          <w:sz w:val="24"/>
          <w:szCs w:val="24"/>
        </w:rPr>
        <w:t xml:space="preserve">295 EUR), </w:t>
      </w:r>
      <w:r w:rsidR="00505B04">
        <w:rPr>
          <w:rFonts w:ascii="Times New Roman" w:hAnsi="Times New Roman" w:cs="Times New Roman"/>
          <w:sz w:val="24"/>
          <w:szCs w:val="24"/>
        </w:rPr>
        <w:t xml:space="preserve">while the national average is at least twice as big. </w:t>
      </w:r>
    </w:p>
    <w:p w14:paraId="5DA19836" w14:textId="19C269C6" w:rsidR="00FB5F1B" w:rsidRDefault="00654316" w:rsidP="00B16BBA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is important to note that </w:t>
      </w:r>
      <w:r w:rsidR="00BE31E3">
        <w:rPr>
          <w:rFonts w:ascii="Times New Roman" w:hAnsi="Times New Roman" w:cs="Times New Roman"/>
          <w:sz w:val="24"/>
          <w:szCs w:val="24"/>
        </w:rPr>
        <w:t xml:space="preserve">the data collection method used by the survey was </w:t>
      </w:r>
      <w:r w:rsidR="001306DF">
        <w:rPr>
          <w:rFonts w:ascii="Times New Roman" w:hAnsi="Times New Roman" w:cs="Times New Roman"/>
          <w:sz w:val="24"/>
          <w:szCs w:val="24"/>
        </w:rPr>
        <w:t xml:space="preserve">a </w:t>
      </w:r>
      <w:r w:rsidR="00BE31E3">
        <w:rPr>
          <w:rFonts w:ascii="Times New Roman" w:hAnsi="Times New Roman" w:cs="Times New Roman"/>
          <w:sz w:val="24"/>
          <w:szCs w:val="24"/>
        </w:rPr>
        <w:t xml:space="preserve">direct interview without referring to the official registers, therefore the data so collected is deemed to be less accurate than that of the Income and Living Conditions Survey. However, </w:t>
      </w:r>
      <w:r w:rsidR="005417F0">
        <w:rPr>
          <w:rFonts w:ascii="Times New Roman" w:hAnsi="Times New Roman" w:cs="Times New Roman"/>
          <w:sz w:val="24"/>
          <w:szCs w:val="24"/>
        </w:rPr>
        <w:t xml:space="preserve">the surveyors sought to calculate income of Roma households as accurately as possible by asking additional questions about alternative sources of income, </w:t>
      </w:r>
      <w:r w:rsidR="00AC7B46">
        <w:rPr>
          <w:rFonts w:ascii="Times New Roman" w:hAnsi="Times New Roman" w:cs="Times New Roman"/>
          <w:sz w:val="24"/>
          <w:szCs w:val="24"/>
        </w:rPr>
        <w:t>social</w:t>
      </w:r>
      <w:r w:rsidR="005417F0">
        <w:rPr>
          <w:rFonts w:ascii="Times New Roman" w:hAnsi="Times New Roman" w:cs="Times New Roman"/>
          <w:sz w:val="24"/>
          <w:szCs w:val="24"/>
        </w:rPr>
        <w:t xml:space="preserve"> be</w:t>
      </w:r>
      <w:r w:rsidR="00AC7B46">
        <w:rPr>
          <w:rFonts w:ascii="Times New Roman" w:hAnsi="Times New Roman" w:cs="Times New Roman"/>
          <w:sz w:val="24"/>
          <w:szCs w:val="24"/>
        </w:rPr>
        <w:t>ne</w:t>
      </w:r>
      <w:r w:rsidR="005417F0">
        <w:rPr>
          <w:rFonts w:ascii="Times New Roman" w:hAnsi="Times New Roman" w:cs="Times New Roman"/>
          <w:sz w:val="24"/>
          <w:szCs w:val="24"/>
        </w:rPr>
        <w:t>fits, etc.</w:t>
      </w:r>
    </w:p>
    <w:p w14:paraId="1B593F30" w14:textId="5A8A2C34" w:rsidR="00FB5F1B" w:rsidRPr="00FB5F1B" w:rsidRDefault="002E1CF6" w:rsidP="00B16BBA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B5F1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Disposable Income of Households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716"/>
      </w:tblGrid>
      <w:tr w:rsidR="00FB5F1B" w:rsidRPr="00D65CC9" w14:paraId="0FB70D44" w14:textId="77777777" w:rsidTr="00FB5F1B">
        <w:trPr>
          <w:trHeight w:val="98"/>
        </w:trPr>
        <w:tc>
          <w:tcPr>
            <w:tcW w:w="4361" w:type="dxa"/>
            <w:shd w:val="clear" w:color="auto" w:fill="auto"/>
          </w:tcPr>
          <w:p w14:paraId="49D9D9AC" w14:textId="4E4F9FE8" w:rsidR="00FB5F1B" w:rsidRPr="00FB5F1B" w:rsidRDefault="00E93A2A" w:rsidP="00E9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Monthly disposable income of households </w:t>
            </w:r>
            <w:r w:rsidR="00FB5F1B" w:rsidRPr="00FB5F1B">
              <w:rPr>
                <w:rFonts w:ascii="Times New Roman" w:hAnsi="Times New Roman" w:cs="Times New Roman"/>
              </w:rPr>
              <w:t>(E</w:t>
            </w:r>
            <w:r w:rsidR="00FB5F1B">
              <w:rPr>
                <w:rFonts w:ascii="Times New Roman" w:hAnsi="Times New Roman" w:cs="Times New Roman"/>
              </w:rPr>
              <w:t>UR</w:t>
            </w:r>
            <w:r w:rsidR="00FB5F1B" w:rsidRPr="00FB5F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45806F08" w14:textId="7909987C" w:rsidR="00FB5F1B" w:rsidRPr="00FB5F1B" w:rsidRDefault="00E93A2A" w:rsidP="00E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Roma Survey</w:t>
            </w:r>
            <w:r w:rsidR="00FB5F1B" w:rsidRPr="00FB5F1B">
              <w:rPr>
                <w:rFonts w:ascii="Times New Roman" w:hAnsi="Times New Roman" w:cs="Times New Roman"/>
                <w:b/>
              </w:rPr>
              <w:t xml:space="preserve"> 2015 (EUR)</w:t>
            </w:r>
          </w:p>
        </w:tc>
        <w:tc>
          <w:tcPr>
            <w:tcW w:w="2716" w:type="dxa"/>
            <w:shd w:val="clear" w:color="auto" w:fill="auto"/>
          </w:tcPr>
          <w:p w14:paraId="6B304DAF" w14:textId="6FA07F4B" w:rsidR="00FB5F1B" w:rsidRPr="00FB5F1B" w:rsidRDefault="001306DF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Income and Living Conditions Survey </w:t>
            </w:r>
          </w:p>
          <w:p w14:paraId="3721333A" w14:textId="77777777" w:rsidR="00FB5F1B" w:rsidRPr="00FB5F1B" w:rsidRDefault="00FB5F1B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F1B">
              <w:rPr>
                <w:rFonts w:ascii="Times New Roman" w:hAnsi="Times New Roman" w:cs="Times New Roman"/>
                <w:b/>
              </w:rPr>
              <w:t xml:space="preserve"> 2013 (EUR)</w:t>
            </w:r>
          </w:p>
        </w:tc>
      </w:tr>
      <w:tr w:rsidR="00FB5F1B" w14:paraId="0BAD63EB" w14:textId="77777777" w:rsidTr="00FB5F1B">
        <w:tc>
          <w:tcPr>
            <w:tcW w:w="4361" w:type="dxa"/>
            <w:shd w:val="clear" w:color="auto" w:fill="auto"/>
          </w:tcPr>
          <w:p w14:paraId="7C84B155" w14:textId="282687C3" w:rsidR="00FB5F1B" w:rsidRPr="00FB5F1B" w:rsidRDefault="00E93A2A" w:rsidP="00FB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2551" w:type="dxa"/>
            <w:shd w:val="clear" w:color="auto" w:fill="auto"/>
          </w:tcPr>
          <w:p w14:paraId="0993FC99" w14:textId="77777777" w:rsidR="00FB5F1B" w:rsidRPr="00FB5F1B" w:rsidRDefault="00FB5F1B" w:rsidP="00FB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F1B">
              <w:rPr>
                <w:rFonts w:ascii="Times New Roman" w:hAnsi="Times New Roman" w:cs="Times New Roman"/>
                <w:lang w:val="en-US"/>
              </w:rPr>
              <w:t>313</w:t>
            </w:r>
          </w:p>
        </w:tc>
        <w:tc>
          <w:tcPr>
            <w:tcW w:w="2716" w:type="dxa"/>
            <w:shd w:val="clear" w:color="auto" w:fill="auto"/>
          </w:tcPr>
          <w:p w14:paraId="0D4E30A8" w14:textId="77777777" w:rsidR="00FB5F1B" w:rsidRPr="00FB5F1B" w:rsidRDefault="00FB5F1B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F1B">
              <w:rPr>
                <w:rFonts w:ascii="Times New Roman" w:hAnsi="Times New Roman" w:cs="Times New Roman"/>
              </w:rPr>
              <w:t>854</w:t>
            </w:r>
          </w:p>
        </w:tc>
      </w:tr>
      <w:tr w:rsidR="00FB5F1B" w14:paraId="1A313B67" w14:textId="77777777" w:rsidTr="00FB5F1B">
        <w:tc>
          <w:tcPr>
            <w:tcW w:w="4361" w:type="dxa"/>
            <w:shd w:val="clear" w:color="auto" w:fill="auto"/>
          </w:tcPr>
          <w:p w14:paraId="15DEDB68" w14:textId="665D3AEB" w:rsidR="00FB5F1B" w:rsidRPr="00FB5F1B" w:rsidRDefault="00E93A2A" w:rsidP="00FB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</w:t>
            </w:r>
          </w:p>
        </w:tc>
        <w:tc>
          <w:tcPr>
            <w:tcW w:w="2551" w:type="dxa"/>
            <w:shd w:val="clear" w:color="auto" w:fill="auto"/>
          </w:tcPr>
          <w:p w14:paraId="2193DEA1" w14:textId="77777777" w:rsidR="00FB5F1B" w:rsidRPr="00FB5F1B" w:rsidRDefault="00FB5F1B" w:rsidP="00FB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F1B">
              <w:rPr>
                <w:rFonts w:ascii="Times New Roman" w:hAnsi="Times New Roman" w:cs="Times New Roman"/>
                <w:lang w:val="en-US"/>
              </w:rPr>
              <w:t>295</w:t>
            </w:r>
          </w:p>
        </w:tc>
        <w:tc>
          <w:tcPr>
            <w:tcW w:w="2716" w:type="dxa"/>
            <w:shd w:val="clear" w:color="auto" w:fill="auto"/>
          </w:tcPr>
          <w:p w14:paraId="40D082A8" w14:textId="77777777" w:rsidR="00FB5F1B" w:rsidRPr="00FB5F1B" w:rsidRDefault="00FB5F1B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F1B">
              <w:rPr>
                <w:rFonts w:ascii="Times New Roman" w:hAnsi="Times New Roman" w:cs="Times New Roman"/>
              </w:rPr>
              <w:t>627</w:t>
            </w:r>
          </w:p>
        </w:tc>
      </w:tr>
      <w:tr w:rsidR="00FB5F1B" w14:paraId="632693D1" w14:textId="77777777" w:rsidTr="00FB5F1B">
        <w:tc>
          <w:tcPr>
            <w:tcW w:w="4361" w:type="dxa"/>
            <w:shd w:val="clear" w:color="auto" w:fill="auto"/>
          </w:tcPr>
          <w:p w14:paraId="6DC0A61F" w14:textId="18EFEAF4" w:rsidR="00FB5F1B" w:rsidRPr="00FB5F1B" w:rsidRDefault="00E93A2A" w:rsidP="00FB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person</w:t>
            </w:r>
          </w:p>
        </w:tc>
        <w:tc>
          <w:tcPr>
            <w:tcW w:w="2551" w:type="dxa"/>
            <w:shd w:val="clear" w:color="auto" w:fill="auto"/>
          </w:tcPr>
          <w:p w14:paraId="12B1ECF3" w14:textId="77777777" w:rsidR="00FB5F1B" w:rsidRPr="00FB5F1B" w:rsidRDefault="00FB5F1B" w:rsidP="00FB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F1B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2716" w:type="dxa"/>
            <w:shd w:val="clear" w:color="auto" w:fill="auto"/>
          </w:tcPr>
          <w:p w14:paraId="4EDBD927" w14:textId="77777777" w:rsidR="00FB5F1B" w:rsidRPr="00FB5F1B" w:rsidRDefault="00FB5F1B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F1B">
              <w:rPr>
                <w:rFonts w:ascii="Times New Roman" w:hAnsi="Times New Roman" w:cs="Times New Roman"/>
              </w:rPr>
              <w:t>326</w:t>
            </w:r>
          </w:p>
        </w:tc>
      </w:tr>
      <w:tr w:rsidR="00FB5F1B" w:rsidRPr="00D65CC9" w14:paraId="45877C84" w14:textId="77777777" w:rsidTr="00FB5F1B">
        <w:tc>
          <w:tcPr>
            <w:tcW w:w="4361" w:type="dxa"/>
            <w:shd w:val="clear" w:color="auto" w:fill="auto"/>
          </w:tcPr>
          <w:p w14:paraId="5A01B348" w14:textId="77777777" w:rsidR="00FB5F1B" w:rsidRPr="00FB5F1B" w:rsidRDefault="00FB5F1B" w:rsidP="00FB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E47C2C0" w14:textId="1BEC2B8E" w:rsidR="00FB5F1B" w:rsidRPr="00FB5F1B" w:rsidRDefault="00E93A2A" w:rsidP="00E9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Monthly disposable income of households </w:t>
            </w:r>
            <w:r w:rsidR="00FB5F1B" w:rsidRPr="00FB5F1B">
              <w:rPr>
                <w:rFonts w:ascii="Times New Roman" w:hAnsi="Times New Roman" w:cs="Times New Roman"/>
              </w:rPr>
              <w:t>(</w:t>
            </w:r>
            <w:r w:rsidR="00FB5F1B">
              <w:rPr>
                <w:rFonts w:ascii="Times New Roman" w:hAnsi="Times New Roman" w:cs="Times New Roman"/>
              </w:rPr>
              <w:t>EUR</w:t>
            </w:r>
            <w:r w:rsidR="00FB5F1B" w:rsidRPr="00FB5F1B">
              <w:rPr>
                <w:rFonts w:ascii="Times New Roman" w:hAnsi="Times New Roman" w:cs="Times New Roman"/>
              </w:rPr>
              <w:t>)</w:t>
            </w:r>
            <w:r w:rsidR="00FB5F1B" w:rsidRPr="00FB5F1B">
              <w:rPr>
                <w:rFonts w:ascii="Times New Roman" w:hAnsi="Times New Roman" w:cs="Times New Roman"/>
                <w:b/>
              </w:rPr>
              <w:t xml:space="preserve"> </w:t>
            </w:r>
            <w:r w:rsidR="00FB5F1B" w:rsidRPr="00FB5F1B">
              <w:rPr>
                <w:rFonts w:ascii="Times New Roman" w:hAnsi="Times New Roman" w:cs="Times New Roman"/>
              </w:rPr>
              <w:t>(</w:t>
            </w:r>
            <w:r w:rsidR="00FB5F1B" w:rsidRPr="00AC7B46">
              <w:rPr>
                <w:rFonts w:ascii="Times New Roman" w:hAnsi="Times New Roman" w:cs="Times New Roman"/>
              </w:rPr>
              <w:t>inter</w:t>
            </w:r>
            <w:r w:rsidRPr="00AC7B46">
              <w:rPr>
                <w:rFonts w:ascii="Times New Roman" w:hAnsi="Times New Roman" w:cs="Times New Roman"/>
              </w:rPr>
              <w:t>vals</w:t>
            </w:r>
            <w:r w:rsidR="00FB5F1B" w:rsidRPr="00FB5F1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51" w:type="dxa"/>
            <w:shd w:val="clear" w:color="auto" w:fill="auto"/>
          </w:tcPr>
          <w:p w14:paraId="7207014F" w14:textId="77777777" w:rsidR="00FB5F1B" w:rsidRPr="00FB5F1B" w:rsidRDefault="00FB5F1B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CA316F" w14:textId="0D6BAE7E" w:rsidR="00FB5F1B" w:rsidRPr="00FB5F1B" w:rsidRDefault="00E93A2A" w:rsidP="00E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Roma Survey</w:t>
            </w:r>
            <w:r w:rsidR="00FB5F1B" w:rsidRPr="00FB5F1B">
              <w:rPr>
                <w:rFonts w:ascii="Times New Roman" w:hAnsi="Times New Roman" w:cs="Times New Roman"/>
                <w:b/>
              </w:rPr>
              <w:t xml:space="preserve"> 2015 (</w:t>
            </w: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  <w:r w:rsidR="00FB5F1B" w:rsidRPr="00FB5F1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16" w:type="dxa"/>
            <w:shd w:val="clear" w:color="auto" w:fill="auto"/>
          </w:tcPr>
          <w:p w14:paraId="14D71B03" w14:textId="77777777" w:rsidR="00FB5F1B" w:rsidRPr="00FB5F1B" w:rsidRDefault="00FB5F1B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B33F199" w14:textId="6F92EF97" w:rsidR="00FB5F1B" w:rsidRPr="00FB5F1B" w:rsidRDefault="001306DF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Income and Living Conditions Survey </w:t>
            </w:r>
          </w:p>
          <w:p w14:paraId="32C83434" w14:textId="7EB25ECF" w:rsidR="00FB5F1B" w:rsidRPr="00FB5F1B" w:rsidRDefault="00FB5F1B" w:rsidP="00E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F1B">
              <w:rPr>
                <w:rFonts w:ascii="Times New Roman" w:hAnsi="Times New Roman" w:cs="Times New Roman"/>
                <w:b/>
              </w:rPr>
              <w:t xml:space="preserve"> 2013 (</w:t>
            </w:r>
            <w:r w:rsidR="00E93A2A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FB5F1B" w14:paraId="307ACB09" w14:textId="77777777" w:rsidTr="00FB5F1B">
        <w:tc>
          <w:tcPr>
            <w:tcW w:w="4361" w:type="dxa"/>
            <w:shd w:val="clear" w:color="auto" w:fill="auto"/>
          </w:tcPr>
          <w:p w14:paraId="79C0B4AF" w14:textId="727696E8" w:rsidR="00FB5F1B" w:rsidRPr="00FB5F1B" w:rsidRDefault="00E93A2A" w:rsidP="00FB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</w:t>
            </w:r>
            <w:r w:rsidR="00FB5F1B" w:rsidRPr="00FB5F1B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2551" w:type="dxa"/>
            <w:shd w:val="clear" w:color="auto" w:fill="auto"/>
          </w:tcPr>
          <w:p w14:paraId="70E08A84" w14:textId="654F24B1" w:rsidR="00FB5F1B" w:rsidRPr="00FB5F1B" w:rsidRDefault="00E93A2A" w:rsidP="00FB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</w:t>
            </w:r>
            <w:r w:rsidR="00FB5F1B" w:rsidRPr="00FB5F1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16" w:type="dxa"/>
            <w:shd w:val="clear" w:color="auto" w:fill="auto"/>
          </w:tcPr>
          <w:p w14:paraId="712EEE59" w14:textId="52D45867" w:rsidR="00FB5F1B" w:rsidRPr="00FB5F1B" w:rsidRDefault="00E93A2A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B5F1B" w:rsidRPr="00FB5F1B">
              <w:rPr>
                <w:rFonts w:ascii="Times New Roman" w:hAnsi="Times New Roman" w:cs="Times New Roman"/>
              </w:rPr>
              <w:t>9</w:t>
            </w:r>
          </w:p>
        </w:tc>
      </w:tr>
      <w:tr w:rsidR="00FB5F1B" w14:paraId="4941A61C" w14:textId="77777777" w:rsidTr="00FB5F1B">
        <w:tc>
          <w:tcPr>
            <w:tcW w:w="4361" w:type="dxa"/>
            <w:shd w:val="clear" w:color="auto" w:fill="auto"/>
          </w:tcPr>
          <w:p w14:paraId="71CBF81A" w14:textId="77777777" w:rsidR="00FB5F1B" w:rsidRPr="00FB5F1B" w:rsidRDefault="00FB5F1B" w:rsidP="00FB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5F1B">
              <w:rPr>
                <w:rFonts w:ascii="Times New Roman" w:hAnsi="Times New Roman" w:cs="Times New Roman"/>
              </w:rPr>
              <w:t>200–300</w:t>
            </w:r>
          </w:p>
        </w:tc>
        <w:tc>
          <w:tcPr>
            <w:tcW w:w="2551" w:type="dxa"/>
            <w:shd w:val="clear" w:color="auto" w:fill="auto"/>
          </w:tcPr>
          <w:p w14:paraId="38F9E380" w14:textId="77777777" w:rsidR="00FB5F1B" w:rsidRPr="00FB5F1B" w:rsidRDefault="00FB5F1B" w:rsidP="00FB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F1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716" w:type="dxa"/>
            <w:shd w:val="clear" w:color="auto" w:fill="auto"/>
          </w:tcPr>
          <w:p w14:paraId="65996842" w14:textId="1BA54102" w:rsidR="00FB5F1B" w:rsidRPr="00FB5F1B" w:rsidRDefault="00E93A2A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FB5F1B" w:rsidRPr="00FB5F1B">
              <w:rPr>
                <w:rFonts w:ascii="Times New Roman" w:hAnsi="Times New Roman" w:cs="Times New Roman"/>
              </w:rPr>
              <w:t>7</w:t>
            </w:r>
          </w:p>
        </w:tc>
      </w:tr>
      <w:tr w:rsidR="00FB5F1B" w14:paraId="2F143D5D" w14:textId="77777777" w:rsidTr="00FB5F1B">
        <w:tc>
          <w:tcPr>
            <w:tcW w:w="4361" w:type="dxa"/>
            <w:shd w:val="clear" w:color="auto" w:fill="auto"/>
          </w:tcPr>
          <w:p w14:paraId="768E5CDB" w14:textId="77777777" w:rsidR="00FB5F1B" w:rsidRPr="00FB5F1B" w:rsidRDefault="00FB5F1B" w:rsidP="00FB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5F1B">
              <w:rPr>
                <w:rFonts w:ascii="Times New Roman" w:hAnsi="Times New Roman" w:cs="Times New Roman"/>
              </w:rPr>
              <w:t>301–400</w:t>
            </w:r>
          </w:p>
        </w:tc>
        <w:tc>
          <w:tcPr>
            <w:tcW w:w="2551" w:type="dxa"/>
            <w:shd w:val="clear" w:color="auto" w:fill="auto"/>
          </w:tcPr>
          <w:p w14:paraId="4E8D31D9" w14:textId="25F573A4" w:rsidR="00FB5F1B" w:rsidRPr="00FB5F1B" w:rsidRDefault="00E93A2A" w:rsidP="00FB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  <w:r w:rsidR="00FB5F1B" w:rsidRPr="00FB5F1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716" w:type="dxa"/>
            <w:shd w:val="clear" w:color="auto" w:fill="auto"/>
          </w:tcPr>
          <w:p w14:paraId="19BE2814" w14:textId="11094B63" w:rsidR="00FB5F1B" w:rsidRPr="00FB5F1B" w:rsidRDefault="00E93A2A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FB5F1B" w:rsidRPr="00FB5F1B">
              <w:rPr>
                <w:rFonts w:ascii="Times New Roman" w:hAnsi="Times New Roman" w:cs="Times New Roman"/>
              </w:rPr>
              <w:t>1</w:t>
            </w:r>
          </w:p>
        </w:tc>
      </w:tr>
      <w:tr w:rsidR="00FB5F1B" w14:paraId="223827BB" w14:textId="77777777" w:rsidTr="00FB5F1B">
        <w:tc>
          <w:tcPr>
            <w:tcW w:w="4361" w:type="dxa"/>
            <w:shd w:val="clear" w:color="auto" w:fill="auto"/>
          </w:tcPr>
          <w:p w14:paraId="3682F82B" w14:textId="77777777" w:rsidR="00FB5F1B" w:rsidRPr="00FB5F1B" w:rsidRDefault="00FB5F1B" w:rsidP="00FB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5F1B">
              <w:rPr>
                <w:rFonts w:ascii="Times New Roman" w:hAnsi="Times New Roman" w:cs="Times New Roman"/>
              </w:rPr>
              <w:t>401–600</w:t>
            </w:r>
          </w:p>
        </w:tc>
        <w:tc>
          <w:tcPr>
            <w:tcW w:w="2551" w:type="dxa"/>
            <w:shd w:val="clear" w:color="auto" w:fill="auto"/>
          </w:tcPr>
          <w:p w14:paraId="59776C3A" w14:textId="5137DB74" w:rsidR="00FB5F1B" w:rsidRPr="00FB5F1B" w:rsidRDefault="00E93A2A" w:rsidP="00FB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  <w:r w:rsidR="00FB5F1B" w:rsidRPr="00FB5F1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16" w:type="dxa"/>
            <w:shd w:val="clear" w:color="auto" w:fill="auto"/>
          </w:tcPr>
          <w:p w14:paraId="557FC868" w14:textId="3B19D47E" w:rsidR="00FB5F1B" w:rsidRPr="00FB5F1B" w:rsidRDefault="00E93A2A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FB5F1B" w:rsidRPr="00FB5F1B">
              <w:rPr>
                <w:rFonts w:ascii="Times New Roman" w:hAnsi="Times New Roman" w:cs="Times New Roman"/>
              </w:rPr>
              <w:t>6</w:t>
            </w:r>
          </w:p>
        </w:tc>
      </w:tr>
      <w:tr w:rsidR="00FB5F1B" w14:paraId="5E1570EA" w14:textId="77777777" w:rsidTr="00FB5F1B">
        <w:tc>
          <w:tcPr>
            <w:tcW w:w="4361" w:type="dxa"/>
            <w:shd w:val="clear" w:color="auto" w:fill="auto"/>
          </w:tcPr>
          <w:p w14:paraId="5F5904A0" w14:textId="77777777" w:rsidR="00FB5F1B" w:rsidRPr="00FB5F1B" w:rsidRDefault="00FB5F1B" w:rsidP="00FB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5F1B">
              <w:rPr>
                <w:rFonts w:ascii="Times New Roman" w:hAnsi="Times New Roman" w:cs="Times New Roman"/>
              </w:rPr>
              <w:t>601–900</w:t>
            </w:r>
          </w:p>
        </w:tc>
        <w:tc>
          <w:tcPr>
            <w:tcW w:w="2551" w:type="dxa"/>
            <w:shd w:val="clear" w:color="auto" w:fill="auto"/>
          </w:tcPr>
          <w:p w14:paraId="75136A34" w14:textId="5BD54A30" w:rsidR="00FB5F1B" w:rsidRPr="00FB5F1B" w:rsidRDefault="00E93A2A" w:rsidP="00FB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  <w:r w:rsidR="00FB5F1B" w:rsidRPr="00FB5F1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716" w:type="dxa"/>
            <w:shd w:val="clear" w:color="auto" w:fill="auto"/>
          </w:tcPr>
          <w:p w14:paraId="04DE454E" w14:textId="4EDCEB5B" w:rsidR="00FB5F1B" w:rsidRPr="00FB5F1B" w:rsidRDefault="00E93A2A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FB5F1B" w:rsidRPr="00FB5F1B">
              <w:rPr>
                <w:rFonts w:ascii="Times New Roman" w:hAnsi="Times New Roman" w:cs="Times New Roman"/>
              </w:rPr>
              <w:t>3</w:t>
            </w:r>
          </w:p>
        </w:tc>
      </w:tr>
      <w:tr w:rsidR="00FB5F1B" w14:paraId="3B2F7D32" w14:textId="77777777" w:rsidTr="00FB5F1B">
        <w:tc>
          <w:tcPr>
            <w:tcW w:w="4361" w:type="dxa"/>
            <w:shd w:val="clear" w:color="auto" w:fill="auto"/>
          </w:tcPr>
          <w:p w14:paraId="7799A7F5" w14:textId="56AA05AC" w:rsidR="00FB5F1B" w:rsidRPr="00FB5F1B" w:rsidRDefault="00E93A2A" w:rsidP="00FB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than</w:t>
            </w:r>
            <w:r w:rsidR="00FB5F1B" w:rsidRPr="00FB5F1B">
              <w:rPr>
                <w:rFonts w:ascii="Times New Roman" w:hAnsi="Times New Roman" w:cs="Times New Roman"/>
              </w:rPr>
              <w:t xml:space="preserve"> 900</w:t>
            </w:r>
          </w:p>
        </w:tc>
        <w:tc>
          <w:tcPr>
            <w:tcW w:w="2551" w:type="dxa"/>
            <w:shd w:val="clear" w:color="auto" w:fill="auto"/>
          </w:tcPr>
          <w:p w14:paraId="5CCD51DF" w14:textId="3259F721" w:rsidR="00FB5F1B" w:rsidRPr="00FB5F1B" w:rsidRDefault="00E93A2A" w:rsidP="00FB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FB5F1B" w:rsidRPr="00FB5F1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716" w:type="dxa"/>
            <w:shd w:val="clear" w:color="auto" w:fill="auto"/>
          </w:tcPr>
          <w:p w14:paraId="4BCAB931" w14:textId="3C15B922" w:rsidR="00FB5F1B" w:rsidRPr="00FB5F1B" w:rsidRDefault="00E93A2A" w:rsidP="00FB5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FB5F1B" w:rsidRPr="00FB5F1B">
              <w:rPr>
                <w:rFonts w:ascii="Times New Roman" w:hAnsi="Times New Roman" w:cs="Times New Roman"/>
              </w:rPr>
              <w:t>4</w:t>
            </w:r>
          </w:p>
        </w:tc>
      </w:tr>
    </w:tbl>
    <w:p w14:paraId="27E2AC53" w14:textId="77777777" w:rsidR="00896BAC" w:rsidRDefault="00896BAC" w:rsidP="00B16BBA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F9B8BB" w14:textId="46CEC908" w:rsidR="00533CFC" w:rsidRDefault="00742D71" w:rsidP="002E76FA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Debts</w:t>
      </w:r>
      <w:r w:rsidR="002E76FA" w:rsidRPr="001A3E6C">
        <w:rPr>
          <w:rFonts w:ascii="Times New Roman" w:hAnsi="Times New Roman" w:cs="Times New Roman"/>
          <w:b/>
          <w:sz w:val="24"/>
          <w:szCs w:val="24"/>
        </w:rPr>
        <w:t>.</w:t>
      </w:r>
      <w:r w:rsidR="0079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5EB" w:rsidRPr="00C055EB">
        <w:rPr>
          <w:rFonts w:ascii="Times New Roman" w:hAnsi="Times New Roman" w:cs="Times New Roman"/>
          <w:sz w:val="24"/>
          <w:szCs w:val="24"/>
        </w:rPr>
        <w:t>Compared to the overall</w:t>
      </w:r>
      <w:r w:rsidR="00C05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5EB" w:rsidRPr="00C055EB">
        <w:rPr>
          <w:rFonts w:ascii="Times New Roman" w:hAnsi="Times New Roman" w:cs="Times New Roman"/>
          <w:sz w:val="24"/>
          <w:szCs w:val="24"/>
        </w:rPr>
        <w:t xml:space="preserve">national indicators, a somewhat </w:t>
      </w:r>
      <w:r w:rsidR="00DD59CC">
        <w:rPr>
          <w:rFonts w:ascii="Times New Roman" w:hAnsi="Times New Roman" w:cs="Times New Roman"/>
          <w:sz w:val="24"/>
          <w:szCs w:val="24"/>
        </w:rPr>
        <w:t>larger</w:t>
      </w:r>
      <w:r w:rsidR="00C055EB" w:rsidRPr="00C055EB">
        <w:rPr>
          <w:rFonts w:ascii="Times New Roman" w:hAnsi="Times New Roman" w:cs="Times New Roman"/>
          <w:sz w:val="24"/>
          <w:szCs w:val="24"/>
        </w:rPr>
        <w:t xml:space="preserve"> proportion of Roma </w:t>
      </w:r>
      <w:r w:rsidR="00C055EB">
        <w:rPr>
          <w:rFonts w:ascii="Times New Roman" w:hAnsi="Times New Roman" w:cs="Times New Roman"/>
          <w:sz w:val="24"/>
          <w:szCs w:val="24"/>
        </w:rPr>
        <w:t xml:space="preserve">households have taken out loans, credits or acquired goods by hire-purchase. </w:t>
      </w:r>
      <w:r w:rsidR="00C055EB">
        <w:rPr>
          <w:rFonts w:ascii="Times New Roman" w:hAnsi="Times New Roman" w:cs="Times New Roman"/>
          <w:sz w:val="24"/>
          <w:szCs w:val="24"/>
          <w:lang w:val="en-US"/>
        </w:rPr>
        <w:t xml:space="preserve">65% of households have not taken out </w:t>
      </w:r>
      <w:r w:rsidR="00DD59CC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C055EB">
        <w:rPr>
          <w:rFonts w:ascii="Times New Roman" w:hAnsi="Times New Roman" w:cs="Times New Roman"/>
          <w:sz w:val="24"/>
          <w:szCs w:val="24"/>
          <w:lang w:val="en-US"/>
        </w:rPr>
        <w:t xml:space="preserve">loans </w:t>
      </w:r>
      <w:r w:rsidR="00791F63">
        <w:rPr>
          <w:rFonts w:ascii="Times New Roman" w:hAnsi="Times New Roman" w:cs="Times New Roman"/>
          <w:sz w:val="24"/>
          <w:szCs w:val="24"/>
        </w:rPr>
        <w:t>(</w:t>
      </w:r>
      <w:r w:rsidR="00C055EB">
        <w:rPr>
          <w:rFonts w:ascii="Times New Roman" w:hAnsi="Times New Roman" w:cs="Times New Roman"/>
          <w:sz w:val="24"/>
          <w:szCs w:val="24"/>
        </w:rPr>
        <w:t xml:space="preserve">national average </w:t>
      </w:r>
      <w:r w:rsidR="00791F63">
        <w:rPr>
          <w:rFonts w:ascii="Times New Roman" w:hAnsi="Times New Roman" w:cs="Times New Roman"/>
          <w:sz w:val="24"/>
          <w:szCs w:val="24"/>
        </w:rPr>
        <w:t>92</w:t>
      </w:r>
      <w:r w:rsidR="00C055EB">
        <w:rPr>
          <w:rFonts w:ascii="Times New Roman" w:hAnsi="Times New Roman" w:cs="Times New Roman"/>
          <w:sz w:val="24"/>
          <w:szCs w:val="24"/>
        </w:rPr>
        <w:t>%</w:t>
      </w:r>
      <w:r w:rsidR="00791F63">
        <w:rPr>
          <w:rFonts w:ascii="Times New Roman" w:hAnsi="Times New Roman" w:cs="Times New Roman"/>
          <w:sz w:val="24"/>
          <w:szCs w:val="24"/>
        </w:rPr>
        <w:t>). T</w:t>
      </w:r>
      <w:r w:rsidR="00C055EB">
        <w:rPr>
          <w:rFonts w:ascii="Times New Roman" w:hAnsi="Times New Roman" w:cs="Times New Roman"/>
          <w:sz w:val="24"/>
          <w:szCs w:val="24"/>
        </w:rPr>
        <w:t xml:space="preserve">hose who have taken out loans claim that repayment of loans </w:t>
      </w:r>
      <w:r w:rsidR="001306DF">
        <w:rPr>
          <w:rFonts w:ascii="Times New Roman" w:hAnsi="Times New Roman" w:cs="Times New Roman"/>
          <w:sz w:val="24"/>
          <w:szCs w:val="24"/>
        </w:rPr>
        <w:t>represents</w:t>
      </w:r>
      <w:r w:rsidR="00C055EB">
        <w:rPr>
          <w:rFonts w:ascii="Times New Roman" w:hAnsi="Times New Roman" w:cs="Times New Roman"/>
          <w:sz w:val="24"/>
          <w:szCs w:val="24"/>
        </w:rPr>
        <w:t xml:space="preserve"> a </w:t>
      </w:r>
      <w:r w:rsidR="00F7498B">
        <w:rPr>
          <w:rFonts w:ascii="Times New Roman" w:hAnsi="Times New Roman" w:cs="Times New Roman"/>
          <w:sz w:val="24"/>
          <w:szCs w:val="24"/>
        </w:rPr>
        <w:t>heavy</w:t>
      </w:r>
      <w:r w:rsidR="00213CA1">
        <w:rPr>
          <w:rFonts w:ascii="Times New Roman" w:hAnsi="Times New Roman" w:cs="Times New Roman"/>
          <w:sz w:val="24"/>
          <w:szCs w:val="24"/>
        </w:rPr>
        <w:t xml:space="preserve"> burden </w:t>
      </w:r>
      <w:r w:rsidR="00791F63">
        <w:rPr>
          <w:rFonts w:ascii="Times New Roman" w:hAnsi="Times New Roman" w:cs="Times New Roman"/>
          <w:sz w:val="24"/>
          <w:szCs w:val="24"/>
        </w:rPr>
        <w:t>(28</w:t>
      </w:r>
      <w:r w:rsidR="00213CA1">
        <w:rPr>
          <w:rFonts w:ascii="Times New Roman" w:hAnsi="Times New Roman" w:cs="Times New Roman"/>
          <w:sz w:val="24"/>
          <w:szCs w:val="24"/>
        </w:rPr>
        <w:t xml:space="preserve">% of households) or a </w:t>
      </w:r>
      <w:r w:rsidR="003E5937">
        <w:rPr>
          <w:rFonts w:ascii="Times New Roman" w:hAnsi="Times New Roman" w:cs="Times New Roman"/>
          <w:sz w:val="24"/>
          <w:szCs w:val="24"/>
        </w:rPr>
        <w:t>small</w:t>
      </w:r>
      <w:bookmarkStart w:id="4" w:name="_GoBack"/>
      <w:bookmarkEnd w:id="4"/>
      <w:r w:rsidR="00213CA1">
        <w:rPr>
          <w:rFonts w:ascii="Times New Roman" w:hAnsi="Times New Roman" w:cs="Times New Roman"/>
          <w:sz w:val="24"/>
          <w:szCs w:val="24"/>
        </w:rPr>
        <w:t xml:space="preserve"> burden </w:t>
      </w:r>
      <w:r w:rsidR="00791F63">
        <w:rPr>
          <w:rFonts w:ascii="Times New Roman" w:hAnsi="Times New Roman" w:cs="Times New Roman"/>
          <w:sz w:val="24"/>
          <w:szCs w:val="24"/>
        </w:rPr>
        <w:t>(5</w:t>
      </w:r>
      <w:r w:rsidR="00213CA1">
        <w:rPr>
          <w:rFonts w:ascii="Times New Roman" w:hAnsi="Times New Roman" w:cs="Times New Roman"/>
          <w:sz w:val="24"/>
          <w:szCs w:val="24"/>
          <w:lang w:val="en-US"/>
        </w:rPr>
        <w:t>% of households</w:t>
      </w:r>
      <w:r w:rsidR="00791F6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030A9D6" w14:textId="77955995" w:rsidR="00533CFC" w:rsidRDefault="00E21565" w:rsidP="002E76FA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survey did not include the question about forced collection of debts, respondents often mentio</w:t>
      </w:r>
      <w:r w:rsidR="00DD59C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d that a proportion of their income is deducted to pay the outstanding debts for </w:t>
      </w:r>
      <w:r w:rsidR="001306DF">
        <w:rPr>
          <w:rFonts w:ascii="Times New Roman" w:hAnsi="Times New Roman" w:cs="Times New Roman"/>
          <w:sz w:val="24"/>
          <w:szCs w:val="24"/>
        </w:rPr>
        <w:t>utility bills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282C">
        <w:rPr>
          <w:rFonts w:ascii="Times New Roman" w:hAnsi="Times New Roman" w:cs="Times New Roman"/>
          <w:sz w:val="24"/>
          <w:szCs w:val="24"/>
        </w:rPr>
        <w:t>fi</w:t>
      </w:r>
      <w:r w:rsidR="00DD59CC">
        <w:rPr>
          <w:rFonts w:ascii="Times New Roman" w:hAnsi="Times New Roman" w:cs="Times New Roman"/>
          <w:sz w:val="24"/>
          <w:szCs w:val="24"/>
        </w:rPr>
        <w:t>ne</w:t>
      </w:r>
      <w:r w:rsidR="000428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(imposed for illegal construction, crimes or administrative </w:t>
      </w:r>
      <w:r w:rsidR="0004282C">
        <w:rPr>
          <w:rFonts w:ascii="Times New Roman" w:hAnsi="Times New Roman" w:cs="Times New Roman"/>
          <w:sz w:val="24"/>
          <w:szCs w:val="24"/>
        </w:rPr>
        <w:t>infringements) and other debts.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82C">
        <w:rPr>
          <w:rFonts w:ascii="Times New Roman" w:hAnsi="Times New Roman" w:cs="Times New Roman"/>
          <w:sz w:val="24"/>
          <w:szCs w:val="24"/>
        </w:rPr>
        <w:t>This is a particularly widespread problem at Kirtimai settlement in Vilnius, but on several occasions it was mentio</w:t>
      </w:r>
      <w:r w:rsidR="00DD59CC">
        <w:rPr>
          <w:rFonts w:ascii="Times New Roman" w:hAnsi="Times New Roman" w:cs="Times New Roman"/>
          <w:sz w:val="24"/>
          <w:szCs w:val="24"/>
        </w:rPr>
        <w:t>ne</w:t>
      </w:r>
      <w:r w:rsidR="0004282C">
        <w:rPr>
          <w:rFonts w:ascii="Times New Roman" w:hAnsi="Times New Roman" w:cs="Times New Roman"/>
          <w:sz w:val="24"/>
          <w:szCs w:val="24"/>
        </w:rPr>
        <w:t xml:space="preserve">d in other geographical locations, too. </w:t>
      </w:r>
    </w:p>
    <w:p w14:paraId="55F050A8" w14:textId="77777777" w:rsidR="00533CFC" w:rsidRDefault="00533CFC">
      <w:pPr>
        <w:rPr>
          <w:rFonts w:ascii="Times New Roman" w:hAnsi="Times New Roman" w:cs="Times New Roman"/>
          <w:b/>
          <w:sz w:val="24"/>
          <w:szCs w:val="24"/>
        </w:rPr>
      </w:pPr>
    </w:p>
    <w:p w14:paraId="7F5315AB" w14:textId="7F3448AF" w:rsidR="002A0318" w:rsidRPr="009F75C2" w:rsidRDefault="0031006A" w:rsidP="00310157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Subjective assessment of financial well-being by households. </w:t>
      </w:r>
      <w:r w:rsidR="00FA5B04">
        <w:rPr>
          <w:rFonts w:ascii="Times New Roman" w:hAnsi="Times New Roman" w:cs="Times New Roman"/>
          <w:sz w:val="24"/>
          <w:szCs w:val="24"/>
        </w:rPr>
        <w:t xml:space="preserve">Compared to the overall national indicators, </w:t>
      </w:r>
      <w:r w:rsidR="005E4711">
        <w:rPr>
          <w:rFonts w:ascii="Times New Roman" w:hAnsi="Times New Roman" w:cs="Times New Roman"/>
          <w:sz w:val="24"/>
          <w:szCs w:val="24"/>
        </w:rPr>
        <w:t xml:space="preserve">a considerably larger proportion of Roma households assessed their financial situation as very grave </w:t>
      </w:r>
      <w:r w:rsidR="00A91224">
        <w:rPr>
          <w:rFonts w:ascii="Times New Roman" w:hAnsi="Times New Roman" w:cs="Times New Roman"/>
          <w:sz w:val="24"/>
          <w:szCs w:val="24"/>
        </w:rPr>
        <w:t>(</w:t>
      </w:r>
      <w:r w:rsidR="005E4711">
        <w:rPr>
          <w:rFonts w:ascii="Times New Roman" w:hAnsi="Times New Roman" w:cs="Times New Roman"/>
          <w:sz w:val="24"/>
          <w:szCs w:val="24"/>
        </w:rPr>
        <w:t xml:space="preserve">Roma </w:t>
      </w:r>
      <w:r w:rsidR="005E4711">
        <w:rPr>
          <w:rFonts w:ascii="Times New Roman" w:hAnsi="Times New Roman" w:cs="Times New Roman"/>
          <w:sz w:val="24"/>
          <w:szCs w:val="24"/>
          <w:lang w:val="en-US"/>
        </w:rPr>
        <w:t xml:space="preserve">41%, national average 11%). </w:t>
      </w:r>
      <w:r w:rsidR="005E4711">
        <w:rPr>
          <w:rFonts w:ascii="Times New Roman" w:hAnsi="Times New Roman" w:cs="Times New Roman"/>
          <w:sz w:val="24"/>
          <w:szCs w:val="24"/>
        </w:rPr>
        <w:t>The same proportion of Roma and ge</w:t>
      </w:r>
      <w:r w:rsidR="00DD59CC">
        <w:rPr>
          <w:rFonts w:ascii="Times New Roman" w:hAnsi="Times New Roman" w:cs="Times New Roman"/>
          <w:sz w:val="24"/>
          <w:szCs w:val="24"/>
        </w:rPr>
        <w:t>ne</w:t>
      </w:r>
      <w:r w:rsidR="005E4711">
        <w:rPr>
          <w:rFonts w:ascii="Times New Roman" w:hAnsi="Times New Roman" w:cs="Times New Roman"/>
          <w:sz w:val="24"/>
          <w:szCs w:val="24"/>
        </w:rPr>
        <w:t xml:space="preserve">ral population indicated that they are in </w:t>
      </w:r>
      <w:r w:rsidR="00420373">
        <w:rPr>
          <w:rFonts w:ascii="Times New Roman" w:hAnsi="Times New Roman" w:cs="Times New Roman"/>
          <w:sz w:val="24"/>
          <w:szCs w:val="24"/>
        </w:rPr>
        <w:t xml:space="preserve">a </w:t>
      </w:r>
      <w:r w:rsidR="005E4711">
        <w:rPr>
          <w:rFonts w:ascii="Times New Roman" w:hAnsi="Times New Roman" w:cs="Times New Roman"/>
          <w:sz w:val="24"/>
          <w:szCs w:val="24"/>
        </w:rPr>
        <w:t xml:space="preserve">difficult situation </w:t>
      </w:r>
      <w:r w:rsidR="00F048CB">
        <w:rPr>
          <w:rFonts w:ascii="Times New Roman" w:hAnsi="Times New Roman" w:cs="Times New Roman"/>
          <w:sz w:val="24"/>
          <w:szCs w:val="24"/>
        </w:rPr>
        <w:t>(26</w:t>
      </w:r>
      <w:r w:rsidR="005E4711">
        <w:rPr>
          <w:rFonts w:ascii="Times New Roman" w:hAnsi="Times New Roman" w:cs="Times New Roman"/>
          <w:sz w:val="24"/>
          <w:szCs w:val="24"/>
          <w:lang w:val="en-US"/>
        </w:rPr>
        <w:t>% each)</w:t>
      </w:r>
      <w:r w:rsidR="00F048CB">
        <w:rPr>
          <w:rFonts w:ascii="Times New Roman" w:hAnsi="Times New Roman" w:cs="Times New Roman"/>
          <w:sz w:val="24"/>
          <w:szCs w:val="24"/>
        </w:rPr>
        <w:t xml:space="preserve">, </w:t>
      </w:r>
      <w:r w:rsidR="005E4711">
        <w:rPr>
          <w:rFonts w:ascii="Times New Roman" w:hAnsi="Times New Roman" w:cs="Times New Roman"/>
          <w:sz w:val="24"/>
          <w:szCs w:val="24"/>
        </w:rPr>
        <w:t xml:space="preserve">but there are fewer Roma households claiming that they experience some hardship (Roma </w:t>
      </w:r>
      <w:r w:rsidR="005E4711">
        <w:rPr>
          <w:rFonts w:ascii="Times New Roman" w:hAnsi="Times New Roman" w:cs="Times New Roman"/>
          <w:sz w:val="24"/>
          <w:szCs w:val="24"/>
          <w:lang w:val="en-US"/>
        </w:rPr>
        <w:t>28%, national average 50%)</w:t>
      </w:r>
      <w:r w:rsidR="00F048CB">
        <w:rPr>
          <w:rFonts w:ascii="Times New Roman" w:hAnsi="Times New Roman" w:cs="Times New Roman"/>
          <w:sz w:val="24"/>
          <w:szCs w:val="24"/>
        </w:rPr>
        <w:t xml:space="preserve"> </w:t>
      </w:r>
      <w:r w:rsidR="005E4711">
        <w:rPr>
          <w:rFonts w:ascii="Times New Roman" w:hAnsi="Times New Roman" w:cs="Times New Roman"/>
          <w:sz w:val="24"/>
          <w:szCs w:val="24"/>
        </w:rPr>
        <w:t>or no hardship at all (4</w:t>
      </w:r>
      <w:r w:rsidR="00DD59CC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5E4711">
        <w:rPr>
          <w:rFonts w:ascii="Times New Roman" w:hAnsi="Times New Roman" w:cs="Times New Roman"/>
          <w:sz w:val="24"/>
          <w:szCs w:val="24"/>
        </w:rPr>
        <w:t xml:space="preserve"> and 12% accordingly). </w:t>
      </w:r>
    </w:p>
    <w:p w14:paraId="31733CC1" w14:textId="5549D4EC" w:rsidR="002A0318" w:rsidRDefault="00CD33F2" w:rsidP="002A0318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asked about the minimal monthly income required </w:t>
      </w:r>
      <w:r w:rsidR="00497FC5">
        <w:rPr>
          <w:rFonts w:ascii="Times New Roman" w:hAnsi="Times New Roman" w:cs="Times New Roman"/>
          <w:sz w:val="24"/>
          <w:szCs w:val="24"/>
        </w:rPr>
        <w:t xml:space="preserve">for a household </w:t>
      </w:r>
      <w:r>
        <w:rPr>
          <w:rFonts w:ascii="Times New Roman" w:hAnsi="Times New Roman" w:cs="Times New Roman"/>
          <w:sz w:val="24"/>
          <w:szCs w:val="24"/>
        </w:rPr>
        <w:t xml:space="preserve">to make both ends meet, </w:t>
      </w:r>
      <w:r w:rsidR="00497FC5">
        <w:rPr>
          <w:rFonts w:ascii="Times New Roman" w:hAnsi="Times New Roman" w:cs="Times New Roman"/>
          <w:sz w:val="24"/>
          <w:szCs w:val="24"/>
        </w:rPr>
        <w:t xml:space="preserve">Roma indicated amounts that are slightly higher than the national average (797 and </w:t>
      </w:r>
      <w:r w:rsidR="00310157">
        <w:rPr>
          <w:rFonts w:ascii="Times New Roman" w:hAnsi="Times New Roman" w:cs="Times New Roman"/>
          <w:sz w:val="24"/>
          <w:szCs w:val="24"/>
        </w:rPr>
        <w:t>656 EUR</w:t>
      </w:r>
      <w:r w:rsidR="00497FC5">
        <w:rPr>
          <w:rFonts w:ascii="Times New Roman" w:hAnsi="Times New Roman" w:cs="Times New Roman"/>
          <w:sz w:val="24"/>
          <w:szCs w:val="24"/>
        </w:rPr>
        <w:t xml:space="preserve"> accordingly</w:t>
      </w:r>
      <w:r w:rsidR="00310157">
        <w:rPr>
          <w:rFonts w:ascii="Times New Roman" w:hAnsi="Times New Roman" w:cs="Times New Roman"/>
          <w:sz w:val="24"/>
          <w:szCs w:val="24"/>
        </w:rPr>
        <w:t xml:space="preserve">). </w:t>
      </w:r>
      <w:r w:rsidR="00497FC5">
        <w:rPr>
          <w:rFonts w:ascii="Times New Roman" w:hAnsi="Times New Roman" w:cs="Times New Roman"/>
          <w:sz w:val="24"/>
          <w:szCs w:val="24"/>
        </w:rPr>
        <w:t>O</w:t>
      </w:r>
      <w:r w:rsidR="00494094">
        <w:rPr>
          <w:rFonts w:ascii="Times New Roman" w:hAnsi="Times New Roman" w:cs="Times New Roman"/>
          <w:sz w:val="24"/>
          <w:szCs w:val="24"/>
        </w:rPr>
        <w:t>ne</w:t>
      </w:r>
      <w:r w:rsidR="00497FC5">
        <w:rPr>
          <w:rFonts w:ascii="Times New Roman" w:hAnsi="Times New Roman" w:cs="Times New Roman"/>
          <w:sz w:val="24"/>
          <w:szCs w:val="24"/>
        </w:rPr>
        <w:t xml:space="preserve"> should note, however, that Roma households are larger. Thus, calculated as monthly income per household member, the amount indicated by Roma is by o</w:t>
      </w:r>
      <w:r w:rsidR="00494094">
        <w:rPr>
          <w:rFonts w:ascii="Times New Roman" w:hAnsi="Times New Roman" w:cs="Times New Roman"/>
          <w:sz w:val="24"/>
          <w:szCs w:val="24"/>
        </w:rPr>
        <w:t>ne</w:t>
      </w:r>
      <w:r w:rsidR="00497FC5">
        <w:rPr>
          <w:rFonts w:ascii="Times New Roman" w:hAnsi="Times New Roman" w:cs="Times New Roman"/>
          <w:sz w:val="24"/>
          <w:szCs w:val="24"/>
        </w:rPr>
        <w:t xml:space="preserve"> third lower than the national average (Roma EUR </w:t>
      </w:r>
      <w:r w:rsidR="00497FC5">
        <w:rPr>
          <w:rFonts w:ascii="Times New Roman" w:hAnsi="Times New Roman" w:cs="Times New Roman"/>
          <w:sz w:val="24"/>
          <w:szCs w:val="24"/>
          <w:lang w:val="en-US"/>
        </w:rPr>
        <w:t xml:space="preserve">201, national average EUR 284). </w:t>
      </w:r>
    </w:p>
    <w:p w14:paraId="2CEE86DD" w14:textId="77777777" w:rsidR="00954646" w:rsidRPr="001A3E6C" w:rsidRDefault="00954646">
      <w:pPr>
        <w:rPr>
          <w:rFonts w:ascii="Times New Roman" w:hAnsi="Times New Roman" w:cs="Times New Roman"/>
          <w:b/>
          <w:sz w:val="24"/>
          <w:szCs w:val="24"/>
        </w:rPr>
      </w:pPr>
      <w:r w:rsidRPr="001A3E6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B8A274" w14:textId="06C7293F" w:rsidR="00B16BBA" w:rsidRPr="00763EAE" w:rsidRDefault="006126E9" w:rsidP="00763EAE">
      <w:pPr>
        <w:pStyle w:val="Heading2"/>
        <w:jc w:val="center"/>
        <w:rPr>
          <w:color w:val="auto"/>
        </w:rPr>
      </w:pPr>
      <w:bookmarkStart w:id="5" w:name="_Toc419882042"/>
      <w:r w:rsidRPr="00763EAE">
        <w:rPr>
          <w:color w:val="auto"/>
        </w:rPr>
        <w:lastRenderedPageBreak/>
        <w:t>D</w:t>
      </w:r>
      <w:r w:rsidR="00A05E4F">
        <w:rPr>
          <w:color w:val="auto"/>
        </w:rPr>
        <w:t xml:space="preserve">ata on Individuals </w:t>
      </w:r>
      <w:bookmarkEnd w:id="5"/>
    </w:p>
    <w:p w14:paraId="273D11A3" w14:textId="613C12B9" w:rsidR="00954646" w:rsidRPr="001A3E6C" w:rsidRDefault="00445628" w:rsidP="00954646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Citizenship and migration. </w:t>
      </w:r>
      <w:r w:rsidR="00954646" w:rsidRPr="001A3E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ccording to the survey, </w:t>
      </w:r>
      <w:r w:rsidR="00954646" w:rsidRPr="001A3E6C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  <w:lang w:val="en-US"/>
        </w:rPr>
        <w:t>% of</w:t>
      </w:r>
      <w:r w:rsidR="005635A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respondents are citizens of Lithuania, 2.5% are foreign </w:t>
      </w:r>
      <w:r w:rsidR="005635AA">
        <w:rPr>
          <w:rFonts w:ascii="Times New Roman" w:hAnsi="Times New Roman" w:cs="Times New Roman"/>
          <w:sz w:val="24"/>
          <w:szCs w:val="24"/>
          <w:lang w:val="en-US"/>
        </w:rPr>
        <w:t>nationals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(mostly citizens of Ukrai</w:t>
      </w:r>
      <w:r w:rsidR="00145038">
        <w:rPr>
          <w:rFonts w:ascii="Times New Roman" w:hAnsi="Times New Roman" w:cs="Times New Roman"/>
          <w:sz w:val="24"/>
          <w:szCs w:val="24"/>
          <w:lang w:val="en-US"/>
        </w:rPr>
        <w:t>ne, Russia and B</w:t>
      </w:r>
      <w:r w:rsidR="001803CD">
        <w:rPr>
          <w:rFonts w:ascii="Times New Roman" w:hAnsi="Times New Roman" w:cs="Times New Roman"/>
          <w:sz w:val="24"/>
          <w:szCs w:val="24"/>
          <w:lang w:val="en-US"/>
        </w:rPr>
        <w:t>ela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rus), and 1.9% are stateless persons. </w:t>
      </w:r>
    </w:p>
    <w:p w14:paraId="6CDA575B" w14:textId="1EEC9D34" w:rsidR="00954646" w:rsidRDefault="00445628" w:rsidP="00195F25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</w:t>
      </w:r>
      <w:r w:rsidR="00954646" w:rsidRPr="001A3E6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% of Roma respondents indicated that they </w:t>
      </w:r>
      <w:r w:rsidR="00FC6430">
        <w:rPr>
          <w:rFonts w:ascii="Times New Roman" w:hAnsi="Times New Roman" w:cs="Times New Roman"/>
          <w:sz w:val="24"/>
          <w:szCs w:val="24"/>
        </w:rPr>
        <w:t>resided</w:t>
      </w:r>
      <w:r>
        <w:rPr>
          <w:rFonts w:ascii="Times New Roman" w:hAnsi="Times New Roman" w:cs="Times New Roman"/>
          <w:sz w:val="24"/>
          <w:szCs w:val="24"/>
        </w:rPr>
        <w:t xml:space="preserve"> abroad for a year or longer. This percentage is slightly higher than the national average </w:t>
      </w:r>
      <w:r w:rsidR="00FC6430">
        <w:rPr>
          <w:rFonts w:ascii="Times New Roman" w:hAnsi="Times New Roman" w:cs="Times New Roman"/>
          <w:sz w:val="24"/>
          <w:szCs w:val="24"/>
        </w:rPr>
        <w:t xml:space="preserve">identified by the 2011 Census, </w:t>
      </w:r>
      <w:r w:rsidR="00023C04">
        <w:rPr>
          <w:rFonts w:ascii="Times New Roman" w:hAnsi="Times New Roman" w:cs="Times New Roman"/>
          <w:sz w:val="24"/>
          <w:szCs w:val="24"/>
        </w:rPr>
        <w:t xml:space="preserve">where </w:t>
      </w:r>
      <w:r w:rsidR="00FC6430">
        <w:rPr>
          <w:rFonts w:ascii="Times New Roman" w:hAnsi="Times New Roman" w:cs="Times New Roman"/>
          <w:sz w:val="24"/>
          <w:szCs w:val="24"/>
        </w:rPr>
        <w:t xml:space="preserve">6.8% of Lithuanian population reported having resided </w:t>
      </w:r>
      <w:r w:rsidR="00023C04">
        <w:rPr>
          <w:rFonts w:ascii="Times New Roman" w:hAnsi="Times New Roman" w:cs="Times New Roman"/>
          <w:sz w:val="24"/>
          <w:szCs w:val="24"/>
        </w:rPr>
        <w:t xml:space="preserve">abroad for </w:t>
      </w:r>
      <w:r w:rsidR="00FC6430">
        <w:rPr>
          <w:rFonts w:ascii="Times New Roman" w:hAnsi="Times New Roman" w:cs="Times New Roman"/>
          <w:sz w:val="24"/>
          <w:szCs w:val="24"/>
        </w:rPr>
        <w:t>o</w:t>
      </w:r>
      <w:r w:rsidR="001803CD">
        <w:rPr>
          <w:rFonts w:ascii="Times New Roman" w:hAnsi="Times New Roman" w:cs="Times New Roman"/>
          <w:sz w:val="24"/>
          <w:szCs w:val="24"/>
        </w:rPr>
        <w:t>ne</w:t>
      </w:r>
      <w:r w:rsidR="00023C04">
        <w:rPr>
          <w:rFonts w:ascii="Times New Roman" w:hAnsi="Times New Roman" w:cs="Times New Roman"/>
          <w:sz w:val="24"/>
          <w:szCs w:val="24"/>
        </w:rPr>
        <w:t xml:space="preserve"> or more</w:t>
      </w:r>
      <w:r w:rsidR="00FC6430">
        <w:rPr>
          <w:rFonts w:ascii="Times New Roman" w:hAnsi="Times New Roman" w:cs="Times New Roman"/>
          <w:sz w:val="24"/>
          <w:szCs w:val="24"/>
        </w:rPr>
        <w:t xml:space="preserve"> year</w:t>
      </w:r>
      <w:r w:rsidR="00023C04">
        <w:rPr>
          <w:rFonts w:ascii="Times New Roman" w:hAnsi="Times New Roman" w:cs="Times New Roman"/>
          <w:sz w:val="24"/>
          <w:szCs w:val="24"/>
        </w:rPr>
        <w:t>s</w:t>
      </w:r>
      <w:r w:rsidR="00FC6430">
        <w:rPr>
          <w:rFonts w:ascii="Times New Roman" w:hAnsi="Times New Roman" w:cs="Times New Roman"/>
          <w:sz w:val="24"/>
          <w:szCs w:val="24"/>
        </w:rPr>
        <w:t>.</w:t>
      </w:r>
    </w:p>
    <w:p w14:paraId="0F56204B" w14:textId="5D370D7B" w:rsidR="00195F25" w:rsidRPr="00195F25" w:rsidRDefault="00FC6430" w:rsidP="00D86FDA">
      <w:pPr>
        <w:spacing w:afterLines="200" w:after="48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 w:rsidR="00D149B9" w:rsidRPr="00195F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C04" w:rsidRPr="00023C04">
        <w:rPr>
          <w:rFonts w:ascii="Times New Roman" w:hAnsi="Times New Roman" w:cs="Times New Roman"/>
          <w:sz w:val="24"/>
          <w:szCs w:val="24"/>
        </w:rPr>
        <w:t>As already</w:t>
      </w:r>
      <w:r w:rsidR="00023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04">
        <w:rPr>
          <w:rFonts w:ascii="Times New Roman" w:hAnsi="Times New Roman" w:cs="Times New Roman"/>
          <w:sz w:val="24"/>
          <w:szCs w:val="24"/>
        </w:rPr>
        <w:t xml:space="preserve">indicated in the Technical Report, </w:t>
      </w:r>
      <w:r w:rsidR="00702966">
        <w:rPr>
          <w:rFonts w:ascii="Times New Roman" w:hAnsi="Times New Roman" w:cs="Times New Roman"/>
          <w:sz w:val="24"/>
          <w:szCs w:val="24"/>
        </w:rPr>
        <w:t xml:space="preserve">the sample </w:t>
      </w:r>
      <w:r w:rsidR="003056CA">
        <w:rPr>
          <w:rFonts w:ascii="Times New Roman" w:hAnsi="Times New Roman" w:cs="Times New Roman"/>
          <w:sz w:val="24"/>
          <w:szCs w:val="24"/>
        </w:rPr>
        <w:t>contai</w:t>
      </w:r>
      <w:r w:rsidR="001803CD">
        <w:rPr>
          <w:rFonts w:ascii="Times New Roman" w:hAnsi="Times New Roman" w:cs="Times New Roman"/>
          <w:sz w:val="24"/>
          <w:szCs w:val="24"/>
        </w:rPr>
        <w:t>ne</w:t>
      </w:r>
      <w:r w:rsidR="003056CA">
        <w:rPr>
          <w:rFonts w:ascii="Times New Roman" w:hAnsi="Times New Roman" w:cs="Times New Roman"/>
          <w:sz w:val="24"/>
          <w:szCs w:val="24"/>
        </w:rPr>
        <w:t xml:space="preserve">d a higher percentage of </w:t>
      </w:r>
      <w:r w:rsidR="009E7E6C">
        <w:rPr>
          <w:rFonts w:ascii="Times New Roman" w:hAnsi="Times New Roman" w:cs="Times New Roman"/>
          <w:sz w:val="24"/>
          <w:szCs w:val="24"/>
        </w:rPr>
        <w:t>early leavers from</w:t>
      </w:r>
      <w:r w:rsidR="003056CA">
        <w:rPr>
          <w:rFonts w:ascii="Times New Roman" w:hAnsi="Times New Roman" w:cs="Times New Roman"/>
          <w:sz w:val="24"/>
          <w:szCs w:val="24"/>
        </w:rPr>
        <w:t xml:space="preserve"> primary schools</w:t>
      </w:r>
      <w:r w:rsidR="009E7E6C">
        <w:rPr>
          <w:rFonts w:ascii="Times New Roman" w:hAnsi="Times New Roman" w:cs="Times New Roman"/>
          <w:sz w:val="24"/>
          <w:szCs w:val="24"/>
        </w:rPr>
        <w:t xml:space="preserve"> and illiterate persons</w:t>
      </w:r>
      <w:r w:rsidR="003056CA">
        <w:rPr>
          <w:rFonts w:ascii="Times New Roman" w:hAnsi="Times New Roman" w:cs="Times New Roman"/>
          <w:sz w:val="24"/>
          <w:szCs w:val="24"/>
        </w:rPr>
        <w:t xml:space="preserve"> (</w:t>
      </w:r>
      <w:r w:rsidR="003056CA">
        <w:rPr>
          <w:rFonts w:ascii="Times New Roman" w:hAnsi="Times New Roman" w:cs="Times New Roman"/>
          <w:sz w:val="24"/>
          <w:szCs w:val="24"/>
          <w:lang w:val="en-US"/>
        </w:rPr>
        <w:t xml:space="preserve">24% compared to 10% in 2011), and a </w:t>
      </w:r>
      <w:r w:rsidR="001803CD"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3056CA">
        <w:rPr>
          <w:rFonts w:ascii="Times New Roman" w:hAnsi="Times New Roman" w:cs="Times New Roman"/>
          <w:sz w:val="24"/>
          <w:szCs w:val="24"/>
          <w:lang w:val="en-US"/>
        </w:rPr>
        <w:t xml:space="preserve"> percentage </w:t>
      </w:r>
      <w:r w:rsidR="00C5509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056CA">
        <w:rPr>
          <w:rFonts w:ascii="Times New Roman" w:hAnsi="Times New Roman" w:cs="Times New Roman"/>
          <w:sz w:val="24"/>
          <w:szCs w:val="24"/>
          <w:lang w:val="en-US"/>
        </w:rPr>
        <w:t xml:space="preserve">basic and </w:t>
      </w:r>
      <w:r w:rsidR="009C04BF"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3056CA">
        <w:rPr>
          <w:rFonts w:ascii="Times New Roman" w:hAnsi="Times New Roman" w:cs="Times New Roman"/>
          <w:sz w:val="24"/>
          <w:szCs w:val="24"/>
          <w:lang w:val="en-US"/>
        </w:rPr>
        <w:t xml:space="preserve"> education graduates (32% </w:t>
      </w:r>
      <w:r w:rsidR="00F57F99">
        <w:rPr>
          <w:rFonts w:ascii="Times New Roman" w:hAnsi="Times New Roman" w:cs="Times New Roman"/>
          <w:sz w:val="24"/>
          <w:szCs w:val="24"/>
          <w:lang w:val="en-US"/>
        </w:rPr>
        <w:t>compared to 49% in 2011) (Fig.</w:t>
      </w:r>
      <w:r w:rsidR="003056CA">
        <w:rPr>
          <w:rFonts w:ascii="Times New Roman" w:hAnsi="Times New Roman" w:cs="Times New Roman"/>
          <w:sz w:val="24"/>
          <w:szCs w:val="24"/>
          <w:lang w:val="en-US"/>
        </w:rPr>
        <w:t xml:space="preserve"> 2). </w:t>
      </w:r>
      <w:r w:rsidR="003056CA">
        <w:rPr>
          <w:rFonts w:ascii="Times New Roman" w:hAnsi="Times New Roman" w:cs="Times New Roman"/>
          <w:sz w:val="24"/>
          <w:szCs w:val="24"/>
        </w:rPr>
        <w:t xml:space="preserve">Before passing onto a more detailed analaysis of the survey data, the reasons behind the worsening of </w:t>
      </w:r>
      <w:r w:rsidR="007E7692">
        <w:rPr>
          <w:rFonts w:ascii="Times New Roman" w:hAnsi="Times New Roman" w:cs="Times New Roman"/>
          <w:sz w:val="24"/>
          <w:szCs w:val="24"/>
        </w:rPr>
        <w:t xml:space="preserve">Roma education </w:t>
      </w:r>
      <w:r w:rsidR="003056CA">
        <w:rPr>
          <w:rFonts w:ascii="Times New Roman" w:hAnsi="Times New Roman" w:cs="Times New Roman"/>
          <w:sz w:val="24"/>
          <w:szCs w:val="24"/>
        </w:rPr>
        <w:t xml:space="preserve">indicators from 2011 to 2015 </w:t>
      </w:r>
      <w:r w:rsidR="00F57F99">
        <w:rPr>
          <w:rFonts w:ascii="Times New Roman" w:hAnsi="Times New Roman" w:cs="Times New Roman"/>
          <w:sz w:val="24"/>
          <w:szCs w:val="24"/>
        </w:rPr>
        <w:t>ne</w:t>
      </w:r>
      <w:r w:rsidR="003056CA">
        <w:rPr>
          <w:rFonts w:ascii="Times New Roman" w:hAnsi="Times New Roman" w:cs="Times New Roman"/>
          <w:sz w:val="24"/>
          <w:szCs w:val="24"/>
        </w:rPr>
        <w:t xml:space="preserve">ed to be explored. </w:t>
      </w:r>
      <w:r w:rsidR="007E7692">
        <w:rPr>
          <w:rFonts w:ascii="Times New Roman" w:hAnsi="Times New Roman" w:cs="Times New Roman"/>
          <w:sz w:val="24"/>
          <w:szCs w:val="24"/>
        </w:rPr>
        <w:t xml:space="preserve">This </w:t>
      </w:r>
      <w:r w:rsidR="00F57F99">
        <w:rPr>
          <w:rFonts w:ascii="Times New Roman" w:hAnsi="Times New Roman" w:cs="Times New Roman"/>
          <w:sz w:val="24"/>
          <w:szCs w:val="24"/>
        </w:rPr>
        <w:t>ne</w:t>
      </w:r>
      <w:r w:rsidR="007E7692">
        <w:rPr>
          <w:rFonts w:ascii="Times New Roman" w:hAnsi="Times New Roman" w:cs="Times New Roman"/>
          <w:sz w:val="24"/>
          <w:szCs w:val="24"/>
        </w:rPr>
        <w:t xml:space="preserve">cessitates an expert consultation which will be carried out in the </w:t>
      </w:r>
      <w:r w:rsidR="00F57F99">
        <w:rPr>
          <w:rFonts w:ascii="Times New Roman" w:hAnsi="Times New Roman" w:cs="Times New Roman"/>
          <w:sz w:val="24"/>
          <w:szCs w:val="24"/>
        </w:rPr>
        <w:t>ne</w:t>
      </w:r>
      <w:r w:rsidR="007E7692">
        <w:rPr>
          <w:rFonts w:ascii="Times New Roman" w:hAnsi="Times New Roman" w:cs="Times New Roman"/>
          <w:sz w:val="24"/>
          <w:szCs w:val="24"/>
        </w:rPr>
        <w:t>ar future</w:t>
      </w:r>
      <w:r w:rsidR="00C5509D">
        <w:rPr>
          <w:rFonts w:ascii="Times New Roman" w:hAnsi="Times New Roman" w:cs="Times New Roman"/>
          <w:sz w:val="24"/>
          <w:szCs w:val="24"/>
        </w:rPr>
        <w:t>; then either the realiability of the survey data will be confirmed or the data will be revised against expert reco</w:t>
      </w:r>
      <w:r w:rsidR="009C04BF">
        <w:rPr>
          <w:rFonts w:ascii="Times New Roman" w:hAnsi="Times New Roman" w:cs="Times New Roman"/>
          <w:sz w:val="24"/>
          <w:szCs w:val="24"/>
        </w:rPr>
        <w:t>m</w:t>
      </w:r>
      <w:r w:rsidR="00C5509D">
        <w:rPr>
          <w:rFonts w:ascii="Times New Roman" w:hAnsi="Times New Roman" w:cs="Times New Roman"/>
          <w:sz w:val="24"/>
          <w:szCs w:val="24"/>
        </w:rPr>
        <w:t>mendations.</w:t>
      </w:r>
    </w:p>
    <w:p w14:paraId="762195D0" w14:textId="6A691263" w:rsidR="00195F25" w:rsidRDefault="005635AA" w:rsidP="0019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37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95F25" w:rsidRPr="0042037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20373">
        <w:rPr>
          <w:rFonts w:ascii="Times New Roman" w:hAnsi="Times New Roman" w:cs="Times New Roman"/>
          <w:sz w:val="24"/>
          <w:szCs w:val="24"/>
        </w:rPr>
        <w:t>Roma Education Indicators</w:t>
      </w:r>
      <w:r w:rsidR="00195F25" w:rsidRPr="00420373">
        <w:rPr>
          <w:rFonts w:ascii="Times New Roman" w:hAnsi="Times New Roman" w:cs="Times New Roman"/>
          <w:sz w:val="24"/>
          <w:szCs w:val="24"/>
        </w:rPr>
        <w:t xml:space="preserve">, </w:t>
      </w:r>
      <w:r w:rsidR="00B0022A" w:rsidRPr="00420373">
        <w:rPr>
          <w:rFonts w:ascii="Times New Roman" w:hAnsi="Times New Roman" w:cs="Times New Roman"/>
          <w:sz w:val="24"/>
          <w:szCs w:val="24"/>
        </w:rPr>
        <w:t>% (data from 2011 and 2015)</w:t>
      </w:r>
    </w:p>
    <w:p w14:paraId="017D5217" w14:textId="77777777" w:rsidR="00195F25" w:rsidRDefault="00195F25" w:rsidP="00195F2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7BC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875B38C" wp14:editId="6675EDC1">
            <wp:extent cx="5646420" cy="2708910"/>
            <wp:effectExtent l="19050" t="0" r="1143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75CFBA" w14:textId="77777777" w:rsidR="002430B2" w:rsidRPr="00D42BEC" w:rsidRDefault="002430B2" w:rsidP="002430B2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2BEC">
        <w:rPr>
          <w:rFonts w:ascii="Times New Roman" w:hAnsi="Times New Roman" w:cs="Times New Roman"/>
          <w:i/>
          <w:sz w:val="20"/>
          <w:szCs w:val="20"/>
        </w:rPr>
        <w:t>[Starting from the top: Higher Education. College and Special Secondary Education. Upper Secondary Education. Basic Education. Primary Education. Early Leavers from Primary School.]</w:t>
      </w:r>
    </w:p>
    <w:p w14:paraId="71AEFFE3" w14:textId="77777777" w:rsidR="002430B2" w:rsidRDefault="002430B2" w:rsidP="002430B2">
      <w:pPr>
        <w:spacing w:after="120"/>
        <w:jc w:val="both"/>
        <w:rPr>
          <w:rFonts w:ascii="Times New Roman" w:hAnsi="Times New Roman" w:cs="Times New Roman"/>
        </w:rPr>
      </w:pPr>
      <w:r w:rsidRPr="00F31D7D">
        <w:rPr>
          <w:rFonts w:ascii="Times New Roman" w:hAnsi="Times New Roman" w:cs="Times New Roman"/>
          <w:b/>
        </w:rPr>
        <w:t xml:space="preserve">Sources: </w:t>
      </w:r>
      <w:r w:rsidRPr="00F31D7D">
        <w:rPr>
          <w:rFonts w:ascii="Times New Roman" w:hAnsi="Times New Roman" w:cs="Times New Roman"/>
        </w:rPr>
        <w:t>Population and Housing</w:t>
      </w:r>
      <w:r>
        <w:rPr>
          <w:rFonts w:ascii="Times New Roman" w:hAnsi="Times New Roman" w:cs="Times New Roman"/>
          <w:b/>
        </w:rPr>
        <w:t xml:space="preserve"> </w:t>
      </w:r>
      <w:r w:rsidRPr="00F31D7D">
        <w:rPr>
          <w:rFonts w:ascii="Times New Roman" w:hAnsi="Times New Roman" w:cs="Times New Roman"/>
        </w:rPr>
        <w:t>Census 2011 (Statistics Lithuania, 2013) and Roma Survey 2015.</w:t>
      </w:r>
    </w:p>
    <w:p w14:paraId="54C4C61E" w14:textId="77777777" w:rsidR="00420373" w:rsidRPr="00420373" w:rsidRDefault="00420373" w:rsidP="004203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DDBF911" w14:textId="50ACC210" w:rsidR="00C212A5" w:rsidRDefault="00710712" w:rsidP="00224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Health</w:t>
      </w:r>
      <w:r w:rsidR="00D149B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. </w:t>
      </w:r>
      <w:r w:rsidR="008947E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Compared to the overall national average, a </w:t>
      </w:r>
      <w:r w:rsidR="002430B2">
        <w:rPr>
          <w:rFonts w:ascii="Times New Roman" w:hAnsi="Times New Roman" w:cs="Times New Roman"/>
          <w:snapToGrid w:val="0"/>
          <w:color w:val="000000"/>
          <w:sz w:val="24"/>
          <w:szCs w:val="24"/>
        </w:rPr>
        <w:t>higher</w:t>
      </w:r>
      <w:r w:rsidR="008947E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percentage of Roma described their health status as “poor or very poor” (Roma </w:t>
      </w:r>
      <w:r w:rsidR="008947E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29%, national average 23</w:t>
      </w:r>
      <w:r w:rsidR="002430B2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%); 50% indicated that they had</w:t>
      </w:r>
      <w:r w:rsidR="008947E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a chronic disease or other long-term </w:t>
      </w:r>
      <w:r w:rsidR="0007587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illness</w:t>
      </w:r>
      <w:r w:rsidR="008947E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(national average 37%). </w:t>
      </w:r>
      <w:r w:rsidR="002430B2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Ne</w:t>
      </w:r>
      <w:r w:rsidR="008947E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arly a quarter of the respondents (23%) reported that at least once </w:t>
      </w:r>
      <w:r w:rsidR="0007587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over</w:t>
      </w:r>
      <w:r w:rsidR="008947E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the recent 12 months they </w:t>
      </w:r>
      <w:r w:rsidR="005B0629" w:rsidRPr="005922B3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did not </w:t>
      </w:r>
      <w:r w:rsidR="00420373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receive</w:t>
      </w:r>
      <w:r w:rsidR="00D1306E" w:rsidRPr="005922B3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="007D0D46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health services</w:t>
      </w:r>
      <w:r w:rsidR="00D1306E" w:rsidRPr="005922B3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="007D0D46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when they</w:t>
      </w:r>
      <w:r w:rsidR="005B0629" w:rsidRPr="005922B3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="007D0D46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were</w:t>
      </w:r>
      <w:r w:rsidR="005B0629" w:rsidRPr="005922B3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="002430B2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ne</w:t>
      </w:r>
      <w:r w:rsidR="005B0629" w:rsidRPr="005922B3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eded</w:t>
      </w:r>
      <w:r w:rsidR="005B0629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(national average 5%). </w:t>
      </w:r>
      <w:r w:rsidR="007F59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Respondents indicated the following reasons</w:t>
      </w:r>
      <w:r w:rsidR="009E00E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for not seeing a doctor</w:t>
      </w:r>
      <w:r w:rsidR="007F59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:</w:t>
      </w:r>
      <w:r w:rsidR="005B0629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="005B0629">
        <w:rPr>
          <w:rFonts w:ascii="Times New Roman" w:hAnsi="Times New Roman" w:cs="Times New Roman"/>
          <w:sz w:val="24"/>
          <w:szCs w:val="24"/>
        </w:rPr>
        <w:t>2</w:t>
      </w:r>
      <w:r w:rsidR="007F59DB">
        <w:rPr>
          <w:rFonts w:ascii="Times New Roman" w:hAnsi="Times New Roman" w:cs="Times New Roman"/>
          <w:sz w:val="24"/>
          <w:szCs w:val="24"/>
        </w:rPr>
        <w:t xml:space="preserve">6% could not afford to </w:t>
      </w:r>
      <w:r w:rsidR="005B0629">
        <w:rPr>
          <w:rFonts w:ascii="Times New Roman" w:hAnsi="Times New Roman" w:cs="Times New Roman"/>
          <w:sz w:val="24"/>
          <w:szCs w:val="24"/>
        </w:rPr>
        <w:t xml:space="preserve">pay for the service; 24% </w:t>
      </w:r>
      <w:r w:rsidR="007F59DB">
        <w:rPr>
          <w:rFonts w:ascii="Times New Roman" w:hAnsi="Times New Roman" w:cs="Times New Roman"/>
          <w:sz w:val="24"/>
          <w:szCs w:val="24"/>
        </w:rPr>
        <w:t>did</w:t>
      </w:r>
      <w:r w:rsidR="009A5872">
        <w:rPr>
          <w:rFonts w:ascii="Times New Roman" w:hAnsi="Times New Roman" w:cs="Times New Roman"/>
          <w:sz w:val="24"/>
          <w:szCs w:val="24"/>
        </w:rPr>
        <w:t>n’t go to</w:t>
      </w:r>
      <w:r w:rsidR="007F59DB">
        <w:rPr>
          <w:rFonts w:ascii="Times New Roman" w:hAnsi="Times New Roman" w:cs="Times New Roman"/>
          <w:sz w:val="24"/>
          <w:szCs w:val="24"/>
        </w:rPr>
        <w:t xml:space="preserve"> see </w:t>
      </w:r>
      <w:r w:rsidR="009A5872">
        <w:rPr>
          <w:rFonts w:ascii="Times New Roman" w:hAnsi="Times New Roman" w:cs="Times New Roman"/>
          <w:sz w:val="24"/>
          <w:szCs w:val="24"/>
        </w:rPr>
        <w:t>a</w:t>
      </w:r>
      <w:r w:rsidR="007F59DB">
        <w:rPr>
          <w:rFonts w:ascii="Times New Roman" w:hAnsi="Times New Roman" w:cs="Times New Roman"/>
          <w:sz w:val="24"/>
          <w:szCs w:val="24"/>
        </w:rPr>
        <w:t xml:space="preserve"> </w:t>
      </w:r>
      <w:r w:rsidR="007F59DB">
        <w:rPr>
          <w:rFonts w:ascii="Times New Roman" w:hAnsi="Times New Roman" w:cs="Times New Roman"/>
          <w:sz w:val="24"/>
          <w:szCs w:val="24"/>
        </w:rPr>
        <w:lastRenderedPageBreak/>
        <w:t>doctor due to the lack of time (child care, job); 26% had a fear of doctors, treatment, hospitals and medical tests</w:t>
      </w:r>
      <w:r w:rsidR="000E4EE5">
        <w:rPr>
          <w:rFonts w:ascii="Times New Roman" w:hAnsi="Times New Roman" w:cs="Times New Roman"/>
          <w:sz w:val="24"/>
          <w:szCs w:val="24"/>
        </w:rPr>
        <w:t>.</w:t>
      </w:r>
      <w:r w:rsidR="000E4EE5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7F59DB">
        <w:rPr>
          <w:rFonts w:ascii="Times New Roman" w:hAnsi="Times New Roman" w:cs="Times New Roman"/>
          <w:sz w:val="24"/>
          <w:szCs w:val="24"/>
        </w:rPr>
        <w:t xml:space="preserve"> Even greater percentage of Roma </w:t>
      </w:r>
      <w:r w:rsidR="00C212A5">
        <w:rPr>
          <w:rFonts w:ascii="Times New Roman" w:hAnsi="Times New Roman" w:cs="Times New Roman"/>
          <w:sz w:val="24"/>
          <w:szCs w:val="24"/>
        </w:rPr>
        <w:t>(30</w:t>
      </w:r>
      <w:r w:rsidR="007F59DB">
        <w:rPr>
          <w:rFonts w:ascii="Times New Roman" w:hAnsi="Times New Roman" w:cs="Times New Roman"/>
          <w:sz w:val="24"/>
          <w:szCs w:val="24"/>
        </w:rPr>
        <w:t>%</w:t>
      </w:r>
      <w:r w:rsidR="00C212A5">
        <w:rPr>
          <w:rFonts w:ascii="Times New Roman" w:hAnsi="Times New Roman" w:cs="Times New Roman"/>
          <w:sz w:val="24"/>
          <w:szCs w:val="24"/>
        </w:rPr>
        <w:t xml:space="preserve">) </w:t>
      </w:r>
      <w:r w:rsidR="007F59DB">
        <w:rPr>
          <w:rFonts w:ascii="Times New Roman" w:hAnsi="Times New Roman" w:cs="Times New Roman"/>
          <w:sz w:val="24"/>
          <w:szCs w:val="24"/>
        </w:rPr>
        <w:t xml:space="preserve">reported that they did not </w:t>
      </w:r>
      <w:r w:rsidR="007D0D46">
        <w:rPr>
          <w:rFonts w:ascii="Times New Roman" w:hAnsi="Times New Roman" w:cs="Times New Roman"/>
          <w:sz w:val="24"/>
          <w:szCs w:val="24"/>
        </w:rPr>
        <w:t>receive</w:t>
      </w:r>
      <w:r w:rsidR="007F59DB">
        <w:rPr>
          <w:rFonts w:ascii="Times New Roman" w:hAnsi="Times New Roman" w:cs="Times New Roman"/>
          <w:sz w:val="24"/>
          <w:szCs w:val="24"/>
        </w:rPr>
        <w:t xml:space="preserve"> any </w:t>
      </w:r>
      <w:r w:rsidR="005922B3">
        <w:rPr>
          <w:rFonts w:ascii="Times New Roman" w:hAnsi="Times New Roman" w:cs="Times New Roman"/>
          <w:sz w:val="24"/>
          <w:szCs w:val="24"/>
        </w:rPr>
        <w:t>dental care</w:t>
      </w:r>
      <w:r w:rsidR="007F59DB">
        <w:rPr>
          <w:rFonts w:ascii="Times New Roman" w:hAnsi="Times New Roman" w:cs="Times New Roman"/>
          <w:sz w:val="24"/>
          <w:szCs w:val="24"/>
        </w:rPr>
        <w:t xml:space="preserve"> services; 50% of them </w:t>
      </w:r>
      <w:r w:rsidR="005922B3">
        <w:rPr>
          <w:rFonts w:ascii="Times New Roman" w:hAnsi="Times New Roman" w:cs="Times New Roman"/>
          <w:sz w:val="24"/>
          <w:szCs w:val="24"/>
        </w:rPr>
        <w:t>could not afford the service</w:t>
      </w:r>
      <w:r w:rsidR="007F59DB">
        <w:rPr>
          <w:rFonts w:ascii="Times New Roman" w:hAnsi="Times New Roman" w:cs="Times New Roman"/>
          <w:sz w:val="24"/>
          <w:szCs w:val="24"/>
        </w:rPr>
        <w:t>, and o</w:t>
      </w:r>
      <w:r w:rsidR="002430B2">
        <w:rPr>
          <w:rFonts w:ascii="Times New Roman" w:hAnsi="Times New Roman" w:cs="Times New Roman"/>
          <w:sz w:val="24"/>
          <w:szCs w:val="24"/>
        </w:rPr>
        <w:t>ne</w:t>
      </w:r>
      <w:r w:rsidR="007F59DB">
        <w:rPr>
          <w:rFonts w:ascii="Times New Roman" w:hAnsi="Times New Roman" w:cs="Times New Roman"/>
          <w:sz w:val="24"/>
          <w:szCs w:val="24"/>
        </w:rPr>
        <w:t xml:space="preserve"> third (32%) had a fear of doctors and treatment</w:t>
      </w:r>
      <w:r w:rsidR="00C212A5">
        <w:rPr>
          <w:rFonts w:ascii="Times New Roman" w:hAnsi="Times New Roman" w:cs="Times New Roman"/>
          <w:sz w:val="24"/>
          <w:szCs w:val="24"/>
        </w:rPr>
        <w:t>.</w:t>
      </w:r>
      <w:r w:rsidR="000E4EE5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7F59DB">
        <w:rPr>
          <w:rFonts w:ascii="Times New Roman" w:hAnsi="Times New Roman" w:cs="Times New Roman"/>
          <w:sz w:val="24"/>
          <w:szCs w:val="24"/>
        </w:rPr>
        <w:t xml:space="preserve"> Sligthly more than o</w:t>
      </w:r>
      <w:r w:rsidR="002430B2">
        <w:rPr>
          <w:rFonts w:ascii="Times New Roman" w:hAnsi="Times New Roman" w:cs="Times New Roman"/>
          <w:sz w:val="24"/>
          <w:szCs w:val="24"/>
        </w:rPr>
        <w:t>ne</w:t>
      </w:r>
      <w:r w:rsidR="007F59DB">
        <w:rPr>
          <w:rFonts w:ascii="Times New Roman" w:hAnsi="Times New Roman" w:cs="Times New Roman"/>
          <w:sz w:val="24"/>
          <w:szCs w:val="24"/>
        </w:rPr>
        <w:t xml:space="preserve"> tenth of adults (i.e. 15 </w:t>
      </w:r>
      <w:r w:rsidR="002430B2">
        <w:rPr>
          <w:rFonts w:ascii="Times New Roman" w:hAnsi="Times New Roman" w:cs="Times New Roman"/>
          <w:sz w:val="24"/>
          <w:szCs w:val="24"/>
        </w:rPr>
        <w:t xml:space="preserve">and more </w:t>
      </w:r>
      <w:r w:rsidR="007F59DB">
        <w:rPr>
          <w:rFonts w:ascii="Times New Roman" w:hAnsi="Times New Roman" w:cs="Times New Roman"/>
          <w:sz w:val="24"/>
          <w:szCs w:val="24"/>
        </w:rPr>
        <w:t>year</w:t>
      </w:r>
      <w:r w:rsidR="002430B2">
        <w:rPr>
          <w:rFonts w:ascii="Times New Roman" w:hAnsi="Times New Roman" w:cs="Times New Roman"/>
          <w:sz w:val="24"/>
          <w:szCs w:val="24"/>
        </w:rPr>
        <w:t>s of age</w:t>
      </w:r>
      <w:r w:rsidR="007F59DB">
        <w:rPr>
          <w:rFonts w:ascii="Times New Roman" w:hAnsi="Times New Roman" w:cs="Times New Roman"/>
          <w:sz w:val="24"/>
          <w:szCs w:val="24"/>
        </w:rPr>
        <w:t xml:space="preserve">) (14%) indicated that </w:t>
      </w:r>
      <w:r w:rsidR="00017D44">
        <w:rPr>
          <w:rFonts w:ascii="Times New Roman" w:hAnsi="Times New Roman" w:cs="Times New Roman"/>
          <w:sz w:val="24"/>
          <w:szCs w:val="24"/>
        </w:rPr>
        <w:t>they were not covered by the compulsory health insurance</w:t>
      </w:r>
      <w:r w:rsidR="007F59DB">
        <w:rPr>
          <w:rFonts w:ascii="Times New Roman" w:hAnsi="Times New Roman" w:cs="Times New Roman"/>
          <w:sz w:val="24"/>
          <w:szCs w:val="24"/>
        </w:rPr>
        <w:t xml:space="preserve">. </w:t>
      </w:r>
      <w:r w:rsidR="008112C1">
        <w:rPr>
          <w:rFonts w:ascii="Times New Roman" w:hAnsi="Times New Roman" w:cs="Times New Roman"/>
          <w:sz w:val="24"/>
          <w:szCs w:val="24"/>
        </w:rPr>
        <w:t>Romani men are more likely not to be covered by</w:t>
      </w:r>
      <w:r w:rsidR="005922B3">
        <w:rPr>
          <w:rFonts w:ascii="Times New Roman" w:hAnsi="Times New Roman" w:cs="Times New Roman"/>
          <w:sz w:val="24"/>
          <w:szCs w:val="24"/>
        </w:rPr>
        <w:t xml:space="preserve"> the</w:t>
      </w:r>
      <w:r w:rsidR="008112C1">
        <w:rPr>
          <w:rFonts w:ascii="Times New Roman" w:hAnsi="Times New Roman" w:cs="Times New Roman"/>
          <w:sz w:val="24"/>
          <w:szCs w:val="24"/>
        </w:rPr>
        <w:t xml:space="preserve"> compulsory health insurance (20%) than women (9</w:t>
      </w:r>
      <w:r w:rsidR="00017D44">
        <w:rPr>
          <w:rFonts w:ascii="Times New Roman" w:hAnsi="Times New Roman" w:cs="Times New Roman"/>
          <w:sz w:val="24"/>
          <w:szCs w:val="24"/>
        </w:rPr>
        <w:t xml:space="preserve">%). Out of the total Roma population </w:t>
      </w:r>
      <w:r w:rsidR="008112C1">
        <w:rPr>
          <w:rFonts w:ascii="Times New Roman" w:hAnsi="Times New Roman" w:cs="Times New Roman"/>
          <w:sz w:val="24"/>
          <w:szCs w:val="24"/>
        </w:rPr>
        <w:t xml:space="preserve">including children under 15 years of age, 9% </w:t>
      </w:r>
      <w:r w:rsidR="007D0D46">
        <w:rPr>
          <w:rFonts w:ascii="Times New Roman" w:hAnsi="Times New Roman" w:cs="Times New Roman"/>
          <w:sz w:val="24"/>
          <w:szCs w:val="24"/>
        </w:rPr>
        <w:t>are not covered by the</w:t>
      </w:r>
      <w:r w:rsidR="008112C1">
        <w:rPr>
          <w:rFonts w:ascii="Times New Roman" w:hAnsi="Times New Roman" w:cs="Times New Roman"/>
          <w:sz w:val="24"/>
          <w:szCs w:val="24"/>
        </w:rPr>
        <w:t xml:space="preserve"> compulsory health insurance (this indicator matches the overall national average of 2011). </w:t>
      </w:r>
    </w:p>
    <w:p w14:paraId="7AEEFE87" w14:textId="54AB848B" w:rsidR="00CB7FC5" w:rsidRDefault="00E857AB" w:rsidP="00CB7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of the health data by gender revealed that women’s </w:t>
      </w:r>
      <w:r w:rsidR="005922B3">
        <w:rPr>
          <w:rFonts w:ascii="Times New Roman" w:hAnsi="Times New Roman" w:cs="Times New Roman"/>
          <w:sz w:val="24"/>
          <w:szCs w:val="24"/>
        </w:rPr>
        <w:t xml:space="preserve">self-reported </w:t>
      </w:r>
      <w:r>
        <w:rPr>
          <w:rFonts w:ascii="Times New Roman" w:hAnsi="Times New Roman" w:cs="Times New Roman"/>
          <w:sz w:val="24"/>
          <w:szCs w:val="24"/>
        </w:rPr>
        <w:t xml:space="preserve">assessment of their health is lower than that of men: 31% of women and 26% of men described their health status as “poor or very poor”. </w:t>
      </w:r>
      <w:r w:rsidR="0051643E">
        <w:rPr>
          <w:rFonts w:ascii="Times New Roman" w:hAnsi="Times New Roman" w:cs="Times New Roman"/>
          <w:sz w:val="24"/>
          <w:szCs w:val="24"/>
        </w:rPr>
        <w:t xml:space="preserve">Also, more women </w:t>
      </w:r>
      <w:r w:rsidR="00D80C0B">
        <w:rPr>
          <w:rFonts w:ascii="Times New Roman" w:hAnsi="Times New Roman" w:cs="Times New Roman"/>
          <w:sz w:val="24"/>
          <w:szCs w:val="24"/>
        </w:rPr>
        <w:t xml:space="preserve">than men </w:t>
      </w:r>
      <w:r w:rsidR="0051643E">
        <w:rPr>
          <w:rFonts w:ascii="Times New Roman" w:hAnsi="Times New Roman" w:cs="Times New Roman"/>
          <w:sz w:val="24"/>
          <w:szCs w:val="24"/>
        </w:rPr>
        <w:t xml:space="preserve">reported having long-term </w:t>
      </w:r>
      <w:r w:rsidR="009A5872">
        <w:rPr>
          <w:rFonts w:ascii="Times New Roman" w:hAnsi="Times New Roman" w:cs="Times New Roman"/>
          <w:sz w:val="24"/>
          <w:szCs w:val="24"/>
        </w:rPr>
        <w:t>illnesses</w:t>
      </w:r>
      <w:r w:rsidR="0051643E">
        <w:rPr>
          <w:rFonts w:ascii="Times New Roman" w:hAnsi="Times New Roman" w:cs="Times New Roman"/>
          <w:sz w:val="24"/>
          <w:szCs w:val="24"/>
        </w:rPr>
        <w:t xml:space="preserve"> </w:t>
      </w:r>
      <w:r w:rsidR="005922B3">
        <w:rPr>
          <w:rFonts w:ascii="Times New Roman" w:hAnsi="Times New Roman" w:cs="Times New Roman"/>
          <w:sz w:val="24"/>
          <w:szCs w:val="24"/>
        </w:rPr>
        <w:t>(53 and 46%);</w:t>
      </w:r>
      <w:r w:rsidR="0051643E">
        <w:rPr>
          <w:rFonts w:ascii="Times New Roman" w:hAnsi="Times New Roman" w:cs="Times New Roman"/>
          <w:sz w:val="24"/>
          <w:szCs w:val="24"/>
        </w:rPr>
        <w:t xml:space="preserve"> they sought medical advice less frequently, too. A quarter (25%) of women reported that over the recent 12 month</w:t>
      </w:r>
      <w:r w:rsidR="005A3DC7">
        <w:rPr>
          <w:rFonts w:ascii="Times New Roman" w:hAnsi="Times New Roman" w:cs="Times New Roman"/>
          <w:sz w:val="24"/>
          <w:szCs w:val="24"/>
        </w:rPr>
        <w:t xml:space="preserve">s they did not </w:t>
      </w:r>
      <w:r w:rsidR="007D0D46">
        <w:rPr>
          <w:rFonts w:ascii="Times New Roman" w:hAnsi="Times New Roman" w:cs="Times New Roman"/>
          <w:sz w:val="24"/>
          <w:szCs w:val="24"/>
        </w:rPr>
        <w:t>receive health care services when they were</w:t>
      </w:r>
      <w:r w:rsidR="0051643E">
        <w:rPr>
          <w:rFonts w:ascii="Times New Roman" w:hAnsi="Times New Roman" w:cs="Times New Roman"/>
          <w:sz w:val="24"/>
          <w:szCs w:val="24"/>
        </w:rPr>
        <w:t xml:space="preserve"> </w:t>
      </w:r>
      <w:r w:rsidR="00D80C0B">
        <w:rPr>
          <w:rFonts w:ascii="Times New Roman" w:hAnsi="Times New Roman" w:cs="Times New Roman"/>
          <w:sz w:val="24"/>
          <w:szCs w:val="24"/>
        </w:rPr>
        <w:t>ne</w:t>
      </w:r>
      <w:r w:rsidR="0051643E">
        <w:rPr>
          <w:rFonts w:ascii="Times New Roman" w:hAnsi="Times New Roman" w:cs="Times New Roman"/>
          <w:sz w:val="24"/>
          <w:szCs w:val="24"/>
        </w:rPr>
        <w:t>eded; 31% of them</w:t>
      </w:r>
      <w:r w:rsidR="00CB7FC5">
        <w:rPr>
          <w:rFonts w:ascii="Times New Roman" w:hAnsi="Times New Roman" w:cs="Times New Roman"/>
          <w:sz w:val="24"/>
          <w:szCs w:val="24"/>
        </w:rPr>
        <w:t xml:space="preserve"> </w:t>
      </w:r>
      <w:r w:rsidR="0051643E">
        <w:rPr>
          <w:rFonts w:ascii="Times New Roman" w:hAnsi="Times New Roman" w:cs="Times New Roman"/>
          <w:sz w:val="24"/>
          <w:szCs w:val="24"/>
        </w:rPr>
        <w:t>indicated they did not seek medical advice due to the time constraints (child care, job), and 26% reported having a fear of doctors and hospitals. Women more often t</w:t>
      </w:r>
      <w:r w:rsidR="005A3DC7">
        <w:rPr>
          <w:rFonts w:ascii="Times New Roman" w:hAnsi="Times New Roman" w:cs="Times New Roman"/>
          <w:sz w:val="24"/>
          <w:szCs w:val="24"/>
        </w:rPr>
        <w:t xml:space="preserve">han men did not </w:t>
      </w:r>
      <w:r w:rsidR="007D0D46">
        <w:rPr>
          <w:rFonts w:ascii="Times New Roman" w:hAnsi="Times New Roman" w:cs="Times New Roman"/>
          <w:sz w:val="24"/>
          <w:szCs w:val="24"/>
        </w:rPr>
        <w:t>receive</w:t>
      </w:r>
      <w:r w:rsidR="005A3DC7">
        <w:rPr>
          <w:rFonts w:ascii="Times New Roman" w:hAnsi="Times New Roman" w:cs="Times New Roman"/>
          <w:sz w:val="24"/>
          <w:szCs w:val="24"/>
        </w:rPr>
        <w:t xml:space="preserve"> dental care</w:t>
      </w:r>
      <w:r w:rsidR="0051643E">
        <w:rPr>
          <w:rFonts w:ascii="Times New Roman" w:hAnsi="Times New Roman" w:cs="Times New Roman"/>
          <w:sz w:val="24"/>
          <w:szCs w:val="24"/>
        </w:rPr>
        <w:t>, too (32% and 26%). Most of them could not afford the treatment (57%), and 30% had a fear of doctors and treatment</w:t>
      </w:r>
      <w:r w:rsidR="00C212A5">
        <w:rPr>
          <w:rFonts w:ascii="Times New Roman" w:hAnsi="Times New Roman" w:cs="Times New Roman"/>
          <w:sz w:val="24"/>
          <w:szCs w:val="24"/>
        </w:rPr>
        <w:t>.</w:t>
      </w:r>
    </w:p>
    <w:p w14:paraId="3DA77CE6" w14:textId="1A1965DC" w:rsidR="00C212A5" w:rsidRDefault="009158AD" w:rsidP="00CB7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indicators of children from 0 to 15 years of age are better than those of adults. Only 8% of children were reported to be of poor or very poor health by their parents</w:t>
      </w:r>
      <w:r w:rsidR="00C212A5">
        <w:rPr>
          <w:rFonts w:ascii="Times New Roman" w:hAnsi="Times New Roman" w:cs="Times New Roman"/>
          <w:sz w:val="24"/>
          <w:szCs w:val="24"/>
        </w:rPr>
        <w:t>, 71</w:t>
      </w:r>
      <w:r>
        <w:rPr>
          <w:rFonts w:ascii="Times New Roman" w:hAnsi="Times New Roman" w:cs="Times New Roman"/>
          <w:sz w:val="24"/>
          <w:szCs w:val="24"/>
        </w:rPr>
        <w:t xml:space="preserve">% were reported to be in good and very good health. </w:t>
      </w:r>
      <w:r w:rsidR="00145A09">
        <w:rPr>
          <w:rFonts w:ascii="Times New Roman" w:hAnsi="Times New Roman" w:cs="Times New Roman"/>
          <w:sz w:val="24"/>
          <w:szCs w:val="24"/>
        </w:rPr>
        <w:t xml:space="preserve">Chronic diseases and long term </w:t>
      </w:r>
      <w:r w:rsidR="00D80C0B">
        <w:rPr>
          <w:rFonts w:ascii="Times New Roman" w:hAnsi="Times New Roman" w:cs="Times New Roman"/>
          <w:sz w:val="24"/>
          <w:szCs w:val="24"/>
        </w:rPr>
        <w:t>health conditions</w:t>
      </w:r>
      <w:r w:rsidR="00145A09">
        <w:rPr>
          <w:rFonts w:ascii="Times New Roman" w:hAnsi="Times New Roman" w:cs="Times New Roman"/>
          <w:sz w:val="24"/>
          <w:szCs w:val="24"/>
        </w:rPr>
        <w:t xml:space="preserve"> were reported in 21% of children (28% boys and 15% girls). Children are taken to see a </w:t>
      </w:r>
      <w:r w:rsidR="005922B3">
        <w:rPr>
          <w:rFonts w:ascii="Times New Roman" w:hAnsi="Times New Roman" w:cs="Times New Roman"/>
          <w:sz w:val="24"/>
          <w:szCs w:val="24"/>
        </w:rPr>
        <w:t>physician</w:t>
      </w:r>
      <w:r w:rsidR="00145A09">
        <w:rPr>
          <w:rFonts w:ascii="Times New Roman" w:hAnsi="Times New Roman" w:cs="Times New Roman"/>
          <w:sz w:val="24"/>
          <w:szCs w:val="24"/>
        </w:rPr>
        <w:t xml:space="preserve"> more often, too: parents of only 6% of children said they did not </w:t>
      </w:r>
      <w:r w:rsidR="00D80C0B">
        <w:rPr>
          <w:rFonts w:ascii="Times New Roman" w:hAnsi="Times New Roman" w:cs="Times New Roman"/>
          <w:sz w:val="24"/>
          <w:szCs w:val="24"/>
        </w:rPr>
        <w:t>receive</w:t>
      </w:r>
      <w:r w:rsidR="00145A09">
        <w:rPr>
          <w:rFonts w:ascii="Times New Roman" w:hAnsi="Times New Roman" w:cs="Times New Roman"/>
          <w:sz w:val="24"/>
          <w:szCs w:val="24"/>
        </w:rPr>
        <w:t xml:space="preserve"> any medical </w:t>
      </w:r>
      <w:r w:rsidR="00D80C0B">
        <w:rPr>
          <w:rFonts w:ascii="Times New Roman" w:hAnsi="Times New Roman" w:cs="Times New Roman"/>
          <w:sz w:val="24"/>
          <w:szCs w:val="24"/>
        </w:rPr>
        <w:t>attention</w:t>
      </w:r>
      <w:r w:rsidR="00145A09">
        <w:rPr>
          <w:rFonts w:ascii="Times New Roman" w:hAnsi="Times New Roman" w:cs="Times New Roman"/>
          <w:sz w:val="24"/>
          <w:szCs w:val="24"/>
        </w:rPr>
        <w:t xml:space="preserve"> over the recent 12 months, and </w:t>
      </w:r>
      <w:r w:rsidR="00145A09">
        <w:rPr>
          <w:rFonts w:ascii="Times New Roman" w:hAnsi="Times New Roman" w:cs="Times New Roman"/>
          <w:sz w:val="24"/>
          <w:szCs w:val="24"/>
          <w:lang w:val="en-US"/>
        </w:rPr>
        <w:t xml:space="preserve">9% did not </w:t>
      </w:r>
      <w:r w:rsidR="004D3207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="00145A09">
        <w:rPr>
          <w:rFonts w:ascii="Times New Roman" w:hAnsi="Times New Roman" w:cs="Times New Roman"/>
          <w:sz w:val="24"/>
          <w:szCs w:val="24"/>
          <w:lang w:val="en-US"/>
        </w:rPr>
        <w:t xml:space="preserve"> dental care. Almost all children, </w:t>
      </w:r>
      <w:r w:rsidR="00D80C0B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="00145A09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D80C0B">
        <w:rPr>
          <w:rFonts w:ascii="Times New Roman" w:hAnsi="Times New Roman" w:cs="Times New Roman"/>
          <w:sz w:val="24"/>
          <w:szCs w:val="24"/>
          <w:lang w:val="en-US"/>
        </w:rPr>
        <w:t>ion of some</w:t>
      </w:r>
      <w:r w:rsidR="00145A09">
        <w:rPr>
          <w:rFonts w:ascii="Times New Roman" w:hAnsi="Times New Roman" w:cs="Times New Roman"/>
          <w:sz w:val="24"/>
          <w:szCs w:val="24"/>
          <w:lang w:val="en-US"/>
        </w:rPr>
        <w:t xml:space="preserve"> individual cases, were reported </w:t>
      </w:r>
      <w:r w:rsidR="00D80C0B">
        <w:rPr>
          <w:rFonts w:ascii="Times New Roman" w:hAnsi="Times New Roman" w:cs="Times New Roman"/>
          <w:sz w:val="24"/>
          <w:szCs w:val="24"/>
          <w:lang w:val="en-US"/>
        </w:rPr>
        <w:t>to be</w:t>
      </w:r>
      <w:r w:rsidR="0014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22B3">
        <w:rPr>
          <w:rFonts w:ascii="Times New Roman" w:hAnsi="Times New Roman" w:cs="Times New Roman"/>
          <w:sz w:val="24"/>
          <w:szCs w:val="24"/>
          <w:lang w:val="en-US"/>
        </w:rPr>
        <w:t>covered by the</w:t>
      </w:r>
      <w:r w:rsidR="00145A09">
        <w:rPr>
          <w:rFonts w:ascii="Times New Roman" w:hAnsi="Times New Roman" w:cs="Times New Roman"/>
          <w:sz w:val="24"/>
          <w:szCs w:val="24"/>
          <w:lang w:val="en-US"/>
        </w:rPr>
        <w:t xml:space="preserve"> compulsory health insurance and entitled </w:t>
      </w:r>
      <w:r w:rsidR="005A3DC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45A09">
        <w:rPr>
          <w:rFonts w:ascii="Times New Roman" w:hAnsi="Times New Roman" w:cs="Times New Roman"/>
          <w:sz w:val="24"/>
          <w:szCs w:val="24"/>
          <w:lang w:val="en-US"/>
        </w:rPr>
        <w:t xml:space="preserve"> free medical treatment. </w:t>
      </w:r>
    </w:p>
    <w:p w14:paraId="1AE38C59" w14:textId="7A9858F5" w:rsidR="001916D6" w:rsidRDefault="00145A09" w:rsidP="00293FCD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Employment</w:t>
      </w:r>
      <w:r w:rsidR="00D149B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B159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Compared to the </w:t>
      </w:r>
      <w:r w:rsidR="00D80C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2011 Population Census</w:t>
      </w:r>
      <w:r w:rsidR="00B159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the Roma Survey data suggest a slightly </w:t>
      </w:r>
      <w:r w:rsidR="00495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>higher</w:t>
      </w:r>
      <w:r w:rsidR="00B159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percentage of economicall</w:t>
      </w:r>
      <w:r w:rsidR="005A3DC7">
        <w:rPr>
          <w:rFonts w:ascii="Times New Roman" w:hAnsi="Times New Roman" w:cs="Times New Roman"/>
          <w:snapToGrid w:val="0"/>
          <w:color w:val="000000"/>
          <w:sz w:val="24"/>
          <w:szCs w:val="24"/>
        </w:rPr>
        <w:t>y</w:t>
      </w:r>
      <w:r w:rsidR="00495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active Roma.</w:t>
      </w:r>
      <w:r w:rsidR="00B159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11.6% of respondents indicated that they </w:t>
      </w:r>
      <w:r w:rsidR="005A3DC7">
        <w:rPr>
          <w:rFonts w:ascii="Times New Roman" w:hAnsi="Times New Roman" w:cs="Times New Roman"/>
          <w:snapToGrid w:val="0"/>
          <w:color w:val="000000"/>
          <w:sz w:val="24"/>
          <w:szCs w:val="24"/>
        </w:rPr>
        <w:t>had hired labour jobs or were self-</w:t>
      </w:r>
      <w:r w:rsidR="00B159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employed (6% in 2011). Despite the higher overal</w:t>
      </w:r>
      <w:r w:rsidR="00D949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l</w:t>
      </w:r>
      <w:r w:rsidR="00B159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u</w:t>
      </w:r>
      <w:r w:rsidR="00D80C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ne</w:t>
      </w:r>
      <w:r w:rsidR="00B159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mployment rate than in 2011 (38</w:t>
      </w:r>
      <w:r w:rsidR="00D949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%</w:t>
      </w:r>
      <w:r w:rsidR="00B159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and 34% accordingly),</w:t>
      </w:r>
      <w:r w:rsidR="00D949C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this rise indicat</w:t>
      </w:r>
      <w:r w:rsidR="00495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>es that more Roma are econo</w:t>
      </w:r>
      <w:r w:rsidR="00D949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m</w:t>
      </w:r>
      <w:r w:rsidR="00495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>i</w:t>
      </w:r>
      <w:r w:rsidR="00D949C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cally active, i.e. they participate in the labour market more intensively, </w:t>
      </w:r>
      <w:r w:rsidR="00495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>but fail to stay there for</w:t>
      </w:r>
      <w:r w:rsidR="00ED418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longer periods of time. </w:t>
      </w:r>
    </w:p>
    <w:p w14:paraId="15D46C8E" w14:textId="77E44620" w:rsidR="00D149B9" w:rsidRDefault="001916D6" w:rsidP="00293FCD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Roma</w:t>
      </w:r>
      <w:r w:rsidR="00ED418F">
        <w:rPr>
          <w:rFonts w:ascii="Times New Roman" w:hAnsi="Times New Roman" w:cs="Times New Roman"/>
          <w:snapToGrid w:val="0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men are more active in the labour market than women: the percentage of employed men is slightly higher (15% and 9%), but </w:t>
      </w:r>
      <w:r w:rsidR="0071237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more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men al</w:t>
      </w:r>
      <w:r w:rsidR="0071237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so indicated that they </w:t>
      </w:r>
      <w:r w:rsidR="00D80C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were</w:t>
      </w:r>
      <w:r w:rsidR="0071237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u</w:t>
      </w:r>
      <w:r w:rsidR="00D80C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m</w:t>
      </w:r>
      <w:r w:rsidR="0071237D">
        <w:rPr>
          <w:rFonts w:ascii="Times New Roman" w:hAnsi="Times New Roman" w:cs="Times New Roman"/>
          <w:snapToGrid w:val="0"/>
          <w:color w:val="000000"/>
          <w:sz w:val="24"/>
          <w:szCs w:val="24"/>
        </w:rPr>
        <w:t>p</w:t>
      </w:r>
      <w:r w:rsidR="009A5872">
        <w:rPr>
          <w:rFonts w:ascii="Times New Roman" w:hAnsi="Times New Roman" w:cs="Times New Roman"/>
          <w:snapToGrid w:val="0"/>
          <w:color w:val="000000"/>
          <w:sz w:val="24"/>
          <w:szCs w:val="24"/>
        </w:rPr>
        <w:t>loyed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(48% and 32%</w:t>
      </w:r>
      <w:r w:rsidR="009A587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accordingly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). Women do not participate in the labour m</w:t>
      </w:r>
      <w:r w:rsidR="009E75E6">
        <w:rPr>
          <w:rFonts w:ascii="Times New Roman" w:hAnsi="Times New Roman" w:cs="Times New Roman"/>
          <w:snapToGrid w:val="0"/>
          <w:color w:val="000000"/>
          <w:sz w:val="24"/>
          <w:szCs w:val="24"/>
        </w:rPr>
        <w:t>arket because of their duties at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home and child</w:t>
      </w:r>
      <w:r w:rsidR="009E75E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care: 23% of women reported bei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ng housewifes, 12% had children under 3 years of age </w:t>
      </w:r>
      <w:r w:rsidR="002B3DF0">
        <w:rPr>
          <w:rFonts w:ascii="Times New Roman" w:hAnsi="Times New Roman" w:cs="Times New Roman"/>
          <w:snapToGrid w:val="0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they </w:t>
      </w:r>
      <w:r w:rsidR="00234B7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did not work previously or had </w:t>
      </w:r>
      <w:r w:rsidR="00D80C0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any </w:t>
      </w:r>
      <w:r w:rsidR="00234B74">
        <w:rPr>
          <w:rFonts w:ascii="Times New Roman" w:hAnsi="Times New Roman" w:cs="Times New Roman"/>
          <w:snapToGrid w:val="0"/>
          <w:color w:val="000000"/>
          <w:sz w:val="24"/>
          <w:szCs w:val="24"/>
        </w:rPr>
        <w:t>jobs)</w:t>
      </w:r>
      <w:r w:rsidR="002B3D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0C6B8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It is important to note that a rather high percentage </w:t>
      </w:r>
      <w:r w:rsidR="000C6B8C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of Roma indicated they could not work because of their disability (Roma 10%, national average 5%); there were more men who reported unable to work because of their disability than women (12% and 9% accordingly). </w:t>
      </w:r>
    </w:p>
    <w:p w14:paraId="115537F7" w14:textId="6ACAD3B1" w:rsidR="002B3DF0" w:rsidRPr="00D149B9" w:rsidRDefault="00BC59E7" w:rsidP="00293FCD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Almost a quarter of respondents (23%) indicated that their economic activity had changed over the </w:t>
      </w:r>
      <w:r w:rsidR="007313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past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year; 67% of them were employed as full or part time hired </w:t>
      </w:r>
      <w:r w:rsidR="00466D3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employees. </w:t>
      </w:r>
      <w:r w:rsidR="007313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This data confirms that a part of Roma are looking for ways to enter the labour market, but only a few succeed </w:t>
      </w:r>
      <w:r w:rsidR="00466D3F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</w:t>
      </w:r>
      <w:r w:rsidR="007313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find</w:t>
      </w:r>
      <w:r w:rsidR="00466D3F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ing</w:t>
      </w:r>
      <w:r w:rsidR="007313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and </w:t>
      </w:r>
      <w:r w:rsidR="0073136E" w:rsidRPr="00234B74">
        <w:rPr>
          <w:rFonts w:ascii="Times New Roman" w:hAnsi="Times New Roman" w:cs="Times New Roman"/>
          <w:snapToGrid w:val="0"/>
          <w:color w:val="000000"/>
          <w:sz w:val="24"/>
          <w:szCs w:val="24"/>
        </w:rPr>
        <w:t>keep</w:t>
      </w:r>
      <w:r w:rsidR="00466D3F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ing</w:t>
      </w:r>
      <w:r w:rsidR="0073136E" w:rsidRPr="00234B7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 job</w:t>
      </w:r>
      <w:r w:rsidR="007313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According to </w:t>
      </w:r>
      <w:r w:rsidR="0073136E" w:rsidRPr="00B070A5">
        <w:rPr>
          <w:rFonts w:ascii="Times New Roman" w:hAnsi="Times New Roman" w:cs="Times New Roman"/>
          <w:snapToGrid w:val="0"/>
          <w:sz w:val="24"/>
          <w:szCs w:val="24"/>
        </w:rPr>
        <w:t xml:space="preserve">the field </w:t>
      </w:r>
      <w:r w:rsidR="00B070A5" w:rsidRPr="00B070A5">
        <w:rPr>
          <w:rFonts w:ascii="Times New Roman" w:hAnsi="Times New Roman" w:cs="Times New Roman"/>
          <w:snapToGrid w:val="0"/>
          <w:sz w:val="24"/>
          <w:szCs w:val="24"/>
        </w:rPr>
        <w:t>notes</w:t>
      </w:r>
      <w:r w:rsidR="00DA4D29">
        <w:rPr>
          <w:rFonts w:ascii="Times New Roman" w:hAnsi="Times New Roman" w:cs="Times New Roman"/>
          <w:snapToGrid w:val="0"/>
          <w:sz w:val="24"/>
          <w:szCs w:val="24"/>
        </w:rPr>
        <w:t xml:space="preserve"> of the survey</w:t>
      </w:r>
      <w:r w:rsidR="00B070A5" w:rsidRPr="00B070A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7313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Roma mentio</w:t>
      </w:r>
      <w:r w:rsidR="00466D3F">
        <w:rPr>
          <w:rFonts w:ascii="Times New Roman" w:hAnsi="Times New Roman" w:cs="Times New Roman"/>
          <w:snapToGrid w:val="0"/>
          <w:color w:val="000000"/>
          <w:sz w:val="24"/>
          <w:szCs w:val="24"/>
        </w:rPr>
        <w:t>ne</w:t>
      </w:r>
      <w:r w:rsidR="007313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d seasonal, temporary jobs (e.g., forest logging, </w:t>
      </w:r>
      <w:r w:rsidR="00234B74">
        <w:rPr>
          <w:rFonts w:ascii="Times New Roman" w:hAnsi="Times New Roman" w:cs="Times New Roman"/>
          <w:snapToGrid w:val="0"/>
          <w:color w:val="000000"/>
          <w:sz w:val="24"/>
          <w:szCs w:val="24"/>
        </w:rPr>
        <w:t>time work</w:t>
      </w:r>
      <w:r w:rsidR="007313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), public works and jobs abroad to describe their working experience. A part of Roma emphas</w:t>
      </w:r>
      <w:r w:rsidR="00E06B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ized that they </w:t>
      </w:r>
      <w:r w:rsidR="00234B74">
        <w:rPr>
          <w:rFonts w:ascii="Times New Roman" w:hAnsi="Times New Roman" w:cs="Times New Roman"/>
          <w:snapToGrid w:val="0"/>
          <w:color w:val="000000"/>
          <w:sz w:val="24"/>
          <w:szCs w:val="24"/>
        </w:rPr>
        <w:t>could</w:t>
      </w:r>
      <w:r w:rsidR="00E06B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not take up unqualified and physically demanding jobs (which would correspond to their level of education), because of their poor health:</w:t>
      </w:r>
      <w:r w:rsidR="007313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06B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50% of respondents indicated having chronic diseases or other </w:t>
      </w:r>
      <w:r w:rsidR="00E06BB8" w:rsidRPr="00B070A5">
        <w:rPr>
          <w:rFonts w:ascii="Times New Roman" w:hAnsi="Times New Roman" w:cs="Times New Roman"/>
          <w:snapToGrid w:val="0"/>
          <w:color w:val="000000"/>
          <w:sz w:val="24"/>
          <w:szCs w:val="24"/>
        </w:rPr>
        <w:t>long</w:t>
      </w:r>
      <w:r w:rsidR="00E06B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-term </w:t>
      </w:r>
      <w:r w:rsidR="00466D3F">
        <w:rPr>
          <w:rFonts w:ascii="Times New Roman" w:hAnsi="Times New Roman" w:cs="Times New Roman"/>
          <w:snapToGrid w:val="0"/>
          <w:color w:val="000000"/>
          <w:sz w:val="24"/>
          <w:szCs w:val="24"/>
        </w:rPr>
        <w:t>illnesses</w:t>
      </w:r>
      <w:r w:rsidR="00E06BB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0D50B0F0" w14:textId="4D44641A" w:rsidR="007C18BB" w:rsidRDefault="00CA1F8F" w:rsidP="006610F5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At-risk-of-poverty</w:t>
      </w:r>
      <w:r w:rsidR="00E06BB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and material</w:t>
      </w:r>
      <w:r w:rsidR="007C18BB" w:rsidRPr="00763EA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="005847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deprivation</w:t>
      </w:r>
      <w:r w:rsidR="007C18BB" w:rsidRPr="00763EA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="00E06BB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indicators</w:t>
      </w:r>
      <w:r w:rsidR="007C18BB" w:rsidRPr="00763EA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="007C18B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06B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The survey revealed that the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at-risk-of-</w:t>
      </w:r>
      <w:r w:rsidR="00E06B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poverty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rate among</w:t>
      </w:r>
      <w:r w:rsidR="00E06B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Roma is several times higher than that of the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general population</w:t>
      </w:r>
      <w:r w:rsidR="00E06B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of Lithuania: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at-risk-of-</w:t>
      </w:r>
      <w:r w:rsidR="00A133D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poverty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rate</w:t>
      </w:r>
      <w:r w:rsidR="00FD2E08">
        <w:rPr>
          <w:rStyle w:val="FootnoteReference"/>
          <w:rFonts w:ascii="Times New Roman" w:hAnsi="Times New Roman" w:cs="Times New Roman"/>
          <w:snapToGrid w:val="0"/>
          <w:color w:val="000000"/>
          <w:sz w:val="24"/>
          <w:szCs w:val="24"/>
        </w:rPr>
        <w:footnoteReference w:id="6"/>
      </w:r>
      <w:r w:rsidR="00A133D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among Roma population is </w:t>
      </w:r>
      <w:r w:rsidR="00E06B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75% (national average in 2013 was 21%). </w:t>
      </w:r>
      <w:r w:rsidR="00FD2E08" w:rsidRPr="00CA1F8F">
        <w:rPr>
          <w:rFonts w:ascii="Times New Roman" w:hAnsi="Times New Roman" w:cs="Times New Roman"/>
          <w:snapToGrid w:val="0"/>
          <w:color w:val="000000"/>
          <w:sz w:val="24"/>
          <w:szCs w:val="24"/>
        </w:rPr>
        <w:t>The level of material deprivation</w:t>
      </w:r>
      <w:r w:rsidR="00FD2E08" w:rsidRPr="00CA1F8F">
        <w:rPr>
          <w:rStyle w:val="FootnoteReference"/>
          <w:rFonts w:ascii="Times New Roman" w:hAnsi="Times New Roman" w:cs="Times New Roman"/>
          <w:snapToGrid w:val="0"/>
          <w:color w:val="000000"/>
          <w:sz w:val="24"/>
          <w:szCs w:val="24"/>
        </w:rPr>
        <w:footnoteReference w:id="7"/>
      </w:r>
      <w:r w:rsidR="00FD2E08" w:rsidRPr="00CA1F8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among Roma is also exceptionally high: 86% of Roma face economic </w:t>
      </w:r>
      <w:r w:rsidRPr="00CA1F8F">
        <w:rPr>
          <w:rFonts w:ascii="Times New Roman" w:hAnsi="Times New Roman" w:cs="Times New Roman"/>
          <w:snapToGrid w:val="0"/>
          <w:color w:val="000000"/>
          <w:sz w:val="24"/>
          <w:szCs w:val="24"/>
        </w:rPr>
        <w:t>strains</w:t>
      </w:r>
      <w:r w:rsidR="00FD2E08" w:rsidRPr="00CA1F8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or can not acquire important </w:t>
      </w:r>
      <w:r w:rsidR="00B070A5" w:rsidRPr="00CA1F8F">
        <w:rPr>
          <w:rFonts w:ascii="Times New Roman" w:hAnsi="Times New Roman" w:cs="Times New Roman"/>
          <w:snapToGrid w:val="0"/>
          <w:color w:val="000000"/>
          <w:sz w:val="24"/>
          <w:szCs w:val="24"/>
        </w:rPr>
        <w:t>durable</w:t>
      </w:r>
      <w:r w:rsidR="00FD2E08" w:rsidRPr="00CA1F8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B070A5" w:rsidRPr="00CA1F8F">
        <w:rPr>
          <w:rFonts w:ascii="Times New Roman" w:hAnsi="Times New Roman" w:cs="Times New Roman"/>
          <w:snapToGrid w:val="0"/>
          <w:color w:val="000000"/>
          <w:sz w:val="24"/>
          <w:szCs w:val="24"/>
        </w:rPr>
        <w:t>goods</w:t>
      </w:r>
      <w:r w:rsidR="00FD2E08" w:rsidRPr="00CA1F8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due to the lack of </w:t>
      </w:r>
      <w:r w:rsidRPr="00CA1F8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financial </w:t>
      </w:r>
      <w:r w:rsidR="00FD2E08" w:rsidRPr="00CA1F8F">
        <w:rPr>
          <w:rFonts w:ascii="Times New Roman" w:hAnsi="Times New Roman" w:cs="Times New Roman"/>
          <w:snapToGrid w:val="0"/>
          <w:color w:val="000000"/>
          <w:sz w:val="24"/>
          <w:szCs w:val="24"/>
        </w:rPr>
        <w:t>resources</w:t>
      </w:r>
      <w:r w:rsidR="00FD2E0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(national average is at 16%). </w:t>
      </w:r>
    </w:p>
    <w:p w14:paraId="6BA08F1F" w14:textId="30044C1D" w:rsidR="001315B5" w:rsidRPr="007C18BB" w:rsidRDefault="00FD2E08" w:rsidP="001315B5">
      <w:pPr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More than two thirds (68%) of Roma of 15 or more years of age can not afford to replace their worn out clothes with brand </w:t>
      </w:r>
      <w:r w:rsidR="00D074B6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>w o</w:t>
      </w:r>
      <w:r w:rsidR="00D074B6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(national average 24%); half of respondents can not afford </w:t>
      </w:r>
      <w:r w:rsidR="00D074B6">
        <w:rPr>
          <w:rFonts w:ascii="Times New Roman" w:hAnsi="Times New Roman" w:cs="Times New Roman"/>
          <w:color w:val="000000"/>
          <w:sz w:val="24"/>
          <w:szCs w:val="24"/>
        </w:rPr>
        <w:t>to have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two pairs of </w:t>
      </w:r>
      <w:r w:rsidR="00234B74">
        <w:rPr>
          <w:rFonts w:ascii="Times New Roman" w:hAnsi="Times New Roman" w:cs="Times New Roman"/>
          <w:color w:val="000000"/>
          <w:sz w:val="24"/>
          <w:szCs w:val="24"/>
        </w:rPr>
        <w:t xml:space="preserve">adequate </w:t>
      </w:r>
      <w:r>
        <w:rPr>
          <w:rFonts w:ascii="Times New Roman" w:hAnsi="Times New Roman" w:cs="Times New Roman"/>
          <w:color w:val="000000"/>
          <w:sz w:val="24"/>
          <w:szCs w:val="24"/>
        </w:rPr>
        <w:t>shoes (o</w:t>
      </w:r>
      <w:r w:rsidR="00D074B6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pair for the warm season, another for the cold) (national average 2%). Most of Roma (68%) are not free to dispose of their income for personal </w:t>
      </w:r>
      <w:r w:rsidR="00D074B6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>eds. Only o</w:t>
      </w:r>
      <w:r w:rsidR="00D074B6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fourth of female respondents (26%) and o</w:t>
      </w:r>
      <w:r w:rsidR="00D074B6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third of male respondents (34%) reported that they </w:t>
      </w:r>
      <w:r w:rsidR="00234B74"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spend a little for their personal </w:t>
      </w:r>
      <w:r w:rsidR="00D074B6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eds every week without consulting first with other family members; other respondents said they could not afford it. </w:t>
      </w:r>
    </w:p>
    <w:p w14:paraId="099F9159" w14:textId="0D6D9C35" w:rsidR="000E78F4" w:rsidRPr="00D67A56" w:rsidRDefault="00FD2E08" w:rsidP="003D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Children</w:t>
      </w:r>
      <w:r w:rsidR="00D149B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496BF5">
        <w:rPr>
          <w:rFonts w:ascii="Times New Roman" w:hAnsi="Times New Roman" w:cs="Times New Roman"/>
          <w:sz w:val="24"/>
          <w:szCs w:val="24"/>
        </w:rPr>
        <w:t>Analysis of the survey data revealed that Roma people</w:t>
      </w:r>
      <w:r w:rsidR="002C0AD4">
        <w:rPr>
          <w:rFonts w:ascii="Times New Roman" w:hAnsi="Times New Roman" w:cs="Times New Roman"/>
          <w:sz w:val="24"/>
          <w:szCs w:val="24"/>
        </w:rPr>
        <w:t xml:space="preserve">’s approach to child care differs from that of the </w:t>
      </w:r>
      <w:r w:rsidR="00496BF5">
        <w:rPr>
          <w:rFonts w:ascii="Times New Roman" w:hAnsi="Times New Roman" w:cs="Times New Roman"/>
          <w:sz w:val="24"/>
          <w:szCs w:val="24"/>
        </w:rPr>
        <w:t>majority of Lithunian population. The differences are particularly pronounced in the group of pre-school children. Only o</w:t>
      </w:r>
      <w:r w:rsidR="00D074B6">
        <w:rPr>
          <w:rFonts w:ascii="Times New Roman" w:hAnsi="Times New Roman" w:cs="Times New Roman"/>
          <w:sz w:val="24"/>
          <w:szCs w:val="24"/>
        </w:rPr>
        <w:t>ne</w:t>
      </w:r>
      <w:r w:rsidR="00496BF5">
        <w:rPr>
          <w:rFonts w:ascii="Times New Roman" w:hAnsi="Times New Roman" w:cs="Times New Roman"/>
          <w:sz w:val="24"/>
          <w:szCs w:val="24"/>
        </w:rPr>
        <w:t xml:space="preserve"> fourth of Roma children attend </w:t>
      </w:r>
      <w:r w:rsidR="0087365B">
        <w:rPr>
          <w:rFonts w:ascii="Times New Roman" w:hAnsi="Times New Roman" w:cs="Times New Roman"/>
          <w:sz w:val="24"/>
          <w:szCs w:val="24"/>
        </w:rPr>
        <w:t>pre</w:t>
      </w:r>
      <w:r w:rsidR="002C0AD4">
        <w:rPr>
          <w:rFonts w:ascii="Times New Roman" w:hAnsi="Times New Roman" w:cs="Times New Roman"/>
          <w:sz w:val="24"/>
          <w:szCs w:val="24"/>
        </w:rPr>
        <w:t>-</w:t>
      </w:r>
      <w:r w:rsidR="0087365B">
        <w:rPr>
          <w:rFonts w:ascii="Times New Roman" w:hAnsi="Times New Roman" w:cs="Times New Roman"/>
          <w:sz w:val="24"/>
          <w:szCs w:val="24"/>
        </w:rPr>
        <w:t>school</w:t>
      </w:r>
      <w:r w:rsidR="00496BF5">
        <w:rPr>
          <w:rFonts w:ascii="Times New Roman" w:hAnsi="Times New Roman" w:cs="Times New Roman"/>
          <w:sz w:val="24"/>
          <w:szCs w:val="24"/>
        </w:rPr>
        <w:t xml:space="preserve"> or </w:t>
      </w:r>
      <w:r w:rsidR="002C0AD4">
        <w:rPr>
          <w:rFonts w:ascii="Times New Roman" w:hAnsi="Times New Roman" w:cs="Times New Roman"/>
          <w:sz w:val="24"/>
          <w:szCs w:val="24"/>
        </w:rPr>
        <w:t>pre-primary</w:t>
      </w:r>
      <w:r w:rsidR="0087365B">
        <w:rPr>
          <w:rFonts w:ascii="Times New Roman" w:hAnsi="Times New Roman" w:cs="Times New Roman"/>
          <w:sz w:val="24"/>
          <w:szCs w:val="24"/>
        </w:rPr>
        <w:t xml:space="preserve"> </w:t>
      </w:r>
      <w:r w:rsidR="00496BF5">
        <w:rPr>
          <w:rFonts w:ascii="Times New Roman" w:hAnsi="Times New Roman" w:cs="Times New Roman"/>
          <w:sz w:val="24"/>
          <w:szCs w:val="24"/>
        </w:rPr>
        <w:t xml:space="preserve">education </w:t>
      </w:r>
      <w:r w:rsidR="0087365B">
        <w:rPr>
          <w:rFonts w:ascii="Times New Roman" w:hAnsi="Times New Roman" w:cs="Times New Roman"/>
          <w:sz w:val="24"/>
          <w:szCs w:val="24"/>
        </w:rPr>
        <w:t>programmes</w:t>
      </w:r>
      <w:r w:rsidR="00496BF5">
        <w:rPr>
          <w:rFonts w:ascii="Times New Roman" w:hAnsi="Times New Roman" w:cs="Times New Roman"/>
          <w:sz w:val="24"/>
          <w:szCs w:val="24"/>
        </w:rPr>
        <w:t xml:space="preserve"> either at kin</w:t>
      </w:r>
      <w:r w:rsidR="0087365B">
        <w:rPr>
          <w:rFonts w:ascii="Times New Roman" w:hAnsi="Times New Roman" w:cs="Times New Roman"/>
          <w:sz w:val="24"/>
          <w:szCs w:val="24"/>
        </w:rPr>
        <w:t>dergart</w:t>
      </w:r>
      <w:r w:rsidR="008E0A39">
        <w:rPr>
          <w:rFonts w:ascii="Times New Roman" w:hAnsi="Times New Roman" w:cs="Times New Roman"/>
          <w:sz w:val="24"/>
          <w:szCs w:val="24"/>
        </w:rPr>
        <w:t xml:space="preserve">ens or at schools (25%), and </w:t>
      </w:r>
      <w:r w:rsidR="003D7817">
        <w:rPr>
          <w:rFonts w:ascii="Times New Roman" w:hAnsi="Times New Roman" w:cs="Times New Roman"/>
          <w:sz w:val="24"/>
          <w:szCs w:val="24"/>
        </w:rPr>
        <w:t>74</w:t>
      </w:r>
      <w:r w:rsidR="008E0A39">
        <w:rPr>
          <w:rFonts w:ascii="Times New Roman" w:hAnsi="Times New Roman" w:cs="Times New Roman"/>
          <w:sz w:val="24"/>
          <w:szCs w:val="24"/>
        </w:rPr>
        <w:t>%</w:t>
      </w:r>
      <w:r w:rsidR="003D7817">
        <w:rPr>
          <w:rFonts w:ascii="Times New Roman" w:hAnsi="Times New Roman" w:cs="Times New Roman"/>
          <w:sz w:val="24"/>
          <w:szCs w:val="24"/>
        </w:rPr>
        <w:t xml:space="preserve"> </w:t>
      </w:r>
      <w:r w:rsidR="00720FDE">
        <w:rPr>
          <w:rFonts w:ascii="Times New Roman" w:hAnsi="Times New Roman" w:cs="Times New Roman"/>
          <w:sz w:val="24"/>
          <w:szCs w:val="24"/>
        </w:rPr>
        <w:t>do not</w:t>
      </w:r>
      <w:r w:rsidR="008E0A39">
        <w:rPr>
          <w:rFonts w:ascii="Times New Roman" w:hAnsi="Times New Roman" w:cs="Times New Roman"/>
          <w:sz w:val="24"/>
          <w:szCs w:val="24"/>
        </w:rPr>
        <w:t xml:space="preserve">. Meanwhile the distribution among </w:t>
      </w:r>
      <w:r w:rsidR="002C0AD4">
        <w:rPr>
          <w:rFonts w:ascii="Times New Roman" w:hAnsi="Times New Roman" w:cs="Times New Roman"/>
          <w:sz w:val="24"/>
          <w:szCs w:val="24"/>
        </w:rPr>
        <w:t>ge</w:t>
      </w:r>
      <w:r w:rsidR="00B135B9">
        <w:rPr>
          <w:rFonts w:ascii="Times New Roman" w:hAnsi="Times New Roman" w:cs="Times New Roman"/>
          <w:sz w:val="24"/>
          <w:szCs w:val="24"/>
        </w:rPr>
        <w:t>ne</w:t>
      </w:r>
      <w:r w:rsidR="002C0AD4">
        <w:rPr>
          <w:rFonts w:ascii="Times New Roman" w:hAnsi="Times New Roman" w:cs="Times New Roman"/>
          <w:sz w:val="24"/>
          <w:szCs w:val="24"/>
        </w:rPr>
        <w:t xml:space="preserve">ral population is opposite: </w:t>
      </w:r>
      <w:r w:rsidR="00720FDE">
        <w:rPr>
          <w:rFonts w:ascii="Times New Roman" w:hAnsi="Times New Roman" w:cs="Times New Roman"/>
          <w:sz w:val="24"/>
          <w:szCs w:val="24"/>
        </w:rPr>
        <w:t>75% attend kinder</w:t>
      </w:r>
      <w:r w:rsidR="008E0A39">
        <w:rPr>
          <w:rFonts w:ascii="Times New Roman" w:hAnsi="Times New Roman" w:cs="Times New Roman"/>
          <w:sz w:val="24"/>
          <w:szCs w:val="24"/>
        </w:rPr>
        <w:t>g</w:t>
      </w:r>
      <w:r w:rsidR="00720FDE">
        <w:rPr>
          <w:rFonts w:ascii="Times New Roman" w:hAnsi="Times New Roman" w:cs="Times New Roman"/>
          <w:sz w:val="24"/>
          <w:szCs w:val="24"/>
        </w:rPr>
        <w:t>art</w:t>
      </w:r>
      <w:r w:rsidR="008E0A39">
        <w:rPr>
          <w:rFonts w:ascii="Times New Roman" w:hAnsi="Times New Roman" w:cs="Times New Roman"/>
          <w:sz w:val="24"/>
          <w:szCs w:val="24"/>
        </w:rPr>
        <w:t xml:space="preserve">ens and only 25% do not.  More often than other groups of Lithuanian population Roma ask other family </w:t>
      </w:r>
      <w:r w:rsidR="008E0A39">
        <w:rPr>
          <w:rFonts w:ascii="Times New Roman" w:hAnsi="Times New Roman" w:cs="Times New Roman"/>
          <w:sz w:val="24"/>
          <w:szCs w:val="24"/>
        </w:rPr>
        <w:lastRenderedPageBreak/>
        <w:t>members</w:t>
      </w:r>
      <w:r w:rsidR="003D7817" w:rsidRPr="001A3E6C">
        <w:rPr>
          <w:rFonts w:ascii="Times New Roman" w:hAnsi="Times New Roman" w:cs="Times New Roman"/>
          <w:sz w:val="24"/>
          <w:szCs w:val="24"/>
        </w:rPr>
        <w:t xml:space="preserve"> </w:t>
      </w:r>
      <w:r w:rsidR="008E0A39">
        <w:rPr>
          <w:rFonts w:ascii="Times New Roman" w:hAnsi="Times New Roman" w:cs="Times New Roman"/>
          <w:sz w:val="24"/>
          <w:szCs w:val="24"/>
        </w:rPr>
        <w:t>to help them</w:t>
      </w:r>
      <w:r w:rsidR="006752A0">
        <w:rPr>
          <w:rFonts w:ascii="Times New Roman" w:hAnsi="Times New Roman" w:cs="Times New Roman"/>
          <w:sz w:val="24"/>
          <w:szCs w:val="24"/>
        </w:rPr>
        <w:t xml:space="preserve"> with child care free of charge;</w:t>
      </w:r>
      <w:r w:rsidR="008E0A39">
        <w:rPr>
          <w:rFonts w:ascii="Times New Roman" w:hAnsi="Times New Roman" w:cs="Times New Roman"/>
          <w:sz w:val="24"/>
          <w:szCs w:val="24"/>
        </w:rPr>
        <w:t xml:space="preserve"> majority of Roma children (67%) are sometimes child-minded</w:t>
      </w:r>
      <w:r w:rsidR="006752A0">
        <w:rPr>
          <w:rFonts w:ascii="Times New Roman" w:hAnsi="Times New Roman" w:cs="Times New Roman"/>
          <w:sz w:val="24"/>
          <w:szCs w:val="24"/>
        </w:rPr>
        <w:t xml:space="preserve"> </w:t>
      </w:r>
      <w:r w:rsidR="008E0A39">
        <w:rPr>
          <w:rFonts w:ascii="Times New Roman" w:hAnsi="Times New Roman" w:cs="Times New Roman"/>
          <w:sz w:val="24"/>
          <w:szCs w:val="24"/>
        </w:rPr>
        <w:t xml:space="preserve">by members of their family </w:t>
      </w:r>
      <w:r w:rsidR="00B135B9">
        <w:rPr>
          <w:rFonts w:ascii="Times New Roman" w:hAnsi="Times New Roman" w:cs="Times New Roman"/>
          <w:sz w:val="24"/>
          <w:szCs w:val="24"/>
        </w:rPr>
        <w:t>(</w:t>
      </w:r>
      <w:r w:rsidR="006752A0">
        <w:rPr>
          <w:rFonts w:ascii="Times New Roman" w:hAnsi="Times New Roman" w:cs="Times New Roman"/>
          <w:sz w:val="24"/>
          <w:szCs w:val="24"/>
        </w:rPr>
        <w:t>other than parents</w:t>
      </w:r>
      <w:r w:rsidR="00B135B9">
        <w:rPr>
          <w:rFonts w:ascii="Times New Roman" w:hAnsi="Times New Roman" w:cs="Times New Roman"/>
          <w:sz w:val="24"/>
          <w:szCs w:val="24"/>
        </w:rPr>
        <w:t>)</w:t>
      </w:r>
      <w:r w:rsidR="008E0A39">
        <w:rPr>
          <w:rFonts w:ascii="Times New Roman" w:hAnsi="Times New Roman" w:cs="Times New Roman"/>
          <w:sz w:val="24"/>
          <w:szCs w:val="24"/>
        </w:rPr>
        <w:t xml:space="preserve">, </w:t>
      </w:r>
      <w:r w:rsidR="006752A0">
        <w:rPr>
          <w:rFonts w:ascii="Times New Roman" w:hAnsi="Times New Roman" w:cs="Times New Roman"/>
          <w:sz w:val="24"/>
          <w:szCs w:val="24"/>
        </w:rPr>
        <w:t>extended family members</w:t>
      </w:r>
      <w:r w:rsidR="008E0A39">
        <w:rPr>
          <w:rFonts w:ascii="Times New Roman" w:hAnsi="Times New Roman" w:cs="Times New Roman"/>
          <w:sz w:val="24"/>
          <w:szCs w:val="24"/>
        </w:rPr>
        <w:t xml:space="preserve">, friends or </w:t>
      </w:r>
      <w:r w:rsidR="00B135B9">
        <w:rPr>
          <w:rFonts w:ascii="Times New Roman" w:hAnsi="Times New Roman" w:cs="Times New Roman"/>
          <w:sz w:val="24"/>
          <w:szCs w:val="24"/>
        </w:rPr>
        <w:t>neighbo</w:t>
      </w:r>
      <w:r w:rsidR="008E0A39">
        <w:rPr>
          <w:rFonts w:ascii="Times New Roman" w:hAnsi="Times New Roman" w:cs="Times New Roman"/>
          <w:sz w:val="24"/>
          <w:szCs w:val="24"/>
        </w:rPr>
        <w:t>rs</w:t>
      </w:r>
      <w:r w:rsidR="00D67A56">
        <w:rPr>
          <w:rFonts w:ascii="Times New Roman" w:hAnsi="Times New Roman" w:cs="Times New Roman"/>
          <w:sz w:val="24"/>
          <w:szCs w:val="24"/>
        </w:rPr>
        <w:t xml:space="preserve">, usually for several hours a day or a week. However, the </w:t>
      </w:r>
      <w:r w:rsidR="00F7498B">
        <w:rPr>
          <w:rFonts w:ascii="Times New Roman" w:hAnsi="Times New Roman" w:cs="Times New Roman"/>
          <w:sz w:val="24"/>
          <w:szCs w:val="24"/>
        </w:rPr>
        <w:t>greatest</w:t>
      </w:r>
      <w:r w:rsidR="00D67A56">
        <w:rPr>
          <w:rFonts w:ascii="Times New Roman" w:hAnsi="Times New Roman" w:cs="Times New Roman"/>
          <w:sz w:val="24"/>
          <w:szCs w:val="24"/>
        </w:rPr>
        <w:t xml:space="preserve"> burden of responsibility for child care in Roma families is placed on the parents, usually mothers. It mu</w:t>
      </w:r>
      <w:r w:rsidR="006752A0">
        <w:rPr>
          <w:rFonts w:ascii="Times New Roman" w:hAnsi="Times New Roman" w:cs="Times New Roman"/>
          <w:sz w:val="24"/>
          <w:szCs w:val="24"/>
        </w:rPr>
        <w:t>st be noted that paid childmin</w:t>
      </w:r>
      <w:r w:rsidR="00D67A56">
        <w:rPr>
          <w:rFonts w:ascii="Times New Roman" w:hAnsi="Times New Roman" w:cs="Times New Roman"/>
          <w:sz w:val="24"/>
          <w:szCs w:val="24"/>
        </w:rPr>
        <w:t xml:space="preserve">ding services are not an option for an absolute majority of both Roma </w:t>
      </w:r>
      <w:r w:rsidR="003D7817" w:rsidRPr="001A3E6C">
        <w:rPr>
          <w:rFonts w:ascii="Times New Roman" w:hAnsi="Times New Roman" w:cs="Times New Roman"/>
          <w:sz w:val="24"/>
          <w:szCs w:val="24"/>
        </w:rPr>
        <w:t>(</w:t>
      </w:r>
      <w:r w:rsidR="003D7817">
        <w:rPr>
          <w:rFonts w:ascii="Times New Roman" w:hAnsi="Times New Roman" w:cs="Times New Roman"/>
          <w:sz w:val="24"/>
          <w:szCs w:val="24"/>
        </w:rPr>
        <w:t>99</w:t>
      </w:r>
      <w:r w:rsidR="00D67A56">
        <w:rPr>
          <w:rFonts w:ascii="Times New Roman" w:hAnsi="Times New Roman" w:cs="Times New Roman"/>
          <w:sz w:val="24"/>
          <w:szCs w:val="24"/>
        </w:rPr>
        <w:t>%</w:t>
      </w:r>
      <w:r w:rsidR="003D7817">
        <w:rPr>
          <w:rFonts w:ascii="Times New Roman" w:hAnsi="Times New Roman" w:cs="Times New Roman"/>
          <w:sz w:val="24"/>
          <w:szCs w:val="24"/>
        </w:rPr>
        <w:t xml:space="preserve">) </w:t>
      </w:r>
      <w:r w:rsidR="00D67A56">
        <w:rPr>
          <w:rFonts w:ascii="Times New Roman" w:hAnsi="Times New Roman" w:cs="Times New Roman"/>
          <w:sz w:val="24"/>
          <w:szCs w:val="24"/>
        </w:rPr>
        <w:t>and ge</w:t>
      </w:r>
      <w:r w:rsidR="00B135B9">
        <w:rPr>
          <w:rFonts w:ascii="Times New Roman" w:hAnsi="Times New Roman" w:cs="Times New Roman"/>
          <w:sz w:val="24"/>
          <w:szCs w:val="24"/>
        </w:rPr>
        <w:t>ne</w:t>
      </w:r>
      <w:r w:rsidR="00D67A56">
        <w:rPr>
          <w:rFonts w:ascii="Times New Roman" w:hAnsi="Times New Roman" w:cs="Times New Roman"/>
          <w:sz w:val="24"/>
          <w:szCs w:val="24"/>
        </w:rPr>
        <w:t>ral population (98%</w:t>
      </w:r>
      <w:r w:rsidR="003D7817" w:rsidRPr="001A3E6C">
        <w:rPr>
          <w:rFonts w:ascii="Times New Roman" w:hAnsi="Times New Roman" w:cs="Times New Roman"/>
          <w:sz w:val="24"/>
          <w:szCs w:val="24"/>
        </w:rPr>
        <w:t>)</w:t>
      </w:r>
      <w:r w:rsidR="00D67A56">
        <w:rPr>
          <w:rFonts w:ascii="Times New Roman" w:hAnsi="Times New Roman" w:cs="Times New Roman"/>
          <w:sz w:val="24"/>
          <w:szCs w:val="24"/>
        </w:rPr>
        <w:t xml:space="preserve"> of Lithuania</w:t>
      </w:r>
      <w:r w:rsidR="003D7817" w:rsidRPr="001A3E6C">
        <w:rPr>
          <w:rFonts w:ascii="Times New Roman" w:hAnsi="Times New Roman" w:cs="Times New Roman"/>
          <w:sz w:val="24"/>
          <w:szCs w:val="24"/>
        </w:rPr>
        <w:t xml:space="preserve">. </w:t>
      </w:r>
      <w:r w:rsidR="003D781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14:paraId="4997CB30" w14:textId="16A3FA1B" w:rsidR="0095333C" w:rsidRDefault="00861A3F" w:rsidP="003D7817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As to </w:t>
      </w:r>
      <w:r w:rsidR="00144662">
        <w:rPr>
          <w:rFonts w:ascii="Times New Roman" w:hAnsi="Times New Roman" w:cs="Times New Roman"/>
          <w:snapToGrid w:val="0"/>
          <w:color w:val="000000"/>
          <w:sz w:val="24"/>
          <w:szCs w:val="24"/>
        </w:rPr>
        <w:t>enrollment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of children in education, it must be noted that 14% of compulsory-education aged children (7-16 years old) were reported as not attending any ge</w:t>
      </w:r>
      <w:r w:rsidR="00D014C3">
        <w:rPr>
          <w:rFonts w:ascii="Times New Roman" w:hAnsi="Times New Roman" w:cs="Times New Roman"/>
          <w:snapToGrid w:val="0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ral education school. Majority of Roma children were in primary schools (51% of </w:t>
      </w:r>
      <w:r w:rsidR="00144662">
        <w:rPr>
          <w:rFonts w:ascii="Times New Roman" w:hAnsi="Times New Roman" w:cs="Times New Roman"/>
          <w:snapToGrid w:val="0"/>
          <w:color w:val="000000"/>
          <w:sz w:val="24"/>
          <w:szCs w:val="24"/>
        </w:rPr>
        <w:t>enrolled children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44662">
        <w:rPr>
          <w:rFonts w:ascii="Times New Roman" w:hAnsi="Times New Roman" w:cs="Times New Roman"/>
          <w:snapToGrid w:val="0"/>
          <w:color w:val="000000"/>
          <w:sz w:val="24"/>
          <w:szCs w:val="24"/>
        </w:rPr>
        <w:t>ages 7 - 18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); the least </w:t>
      </w:r>
      <w:r w:rsidR="00AA3C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children were in grades 11-12 of ge</w:t>
      </w:r>
      <w:r w:rsidR="00D014C3">
        <w:rPr>
          <w:rFonts w:ascii="Times New Roman" w:hAnsi="Times New Roman" w:cs="Times New Roman"/>
          <w:snapToGrid w:val="0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ral educti</w:t>
      </w:r>
      <w:r w:rsidR="00AA3C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on school or grades 3-4 of gymn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a</w:t>
      </w:r>
      <w:r w:rsidR="00AA3C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iums (3% </w:t>
      </w:r>
      <w:r w:rsidR="00144662">
        <w:rPr>
          <w:rFonts w:ascii="Times New Roman" w:hAnsi="Times New Roman" w:cs="Times New Roman"/>
          <w:snapToGrid w:val="0"/>
          <w:color w:val="000000"/>
          <w:sz w:val="24"/>
          <w:szCs w:val="24"/>
        </w:rPr>
        <w:t>of enrolled children ages 7 - 18</w:t>
      </w:r>
      <w:r w:rsidR="00AA3C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C879D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46% of </w:t>
      </w:r>
      <w:r w:rsidR="00144662">
        <w:rPr>
          <w:rFonts w:ascii="Times New Roman" w:hAnsi="Times New Roman" w:cs="Times New Roman"/>
          <w:snapToGrid w:val="0"/>
          <w:color w:val="000000"/>
          <w:sz w:val="24"/>
          <w:szCs w:val="24"/>
        </w:rPr>
        <w:t>children</w:t>
      </w:r>
      <w:r w:rsidR="00C879D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67A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were</w:t>
      </w:r>
      <w:r w:rsidR="0014466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enrolled</w:t>
      </w:r>
      <w:r w:rsidR="00E67A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in basic education (i</w:t>
      </w:r>
      <w:r w:rsidR="00C879D1">
        <w:rPr>
          <w:rFonts w:ascii="Times New Roman" w:hAnsi="Times New Roman" w:cs="Times New Roman"/>
          <w:snapToGrid w:val="0"/>
          <w:color w:val="000000"/>
          <w:sz w:val="24"/>
          <w:szCs w:val="24"/>
        </w:rPr>
        <w:t>.e. grades 5-10)</w:t>
      </w:r>
      <w:r w:rsidR="00E67A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and majority of them </w:t>
      </w:r>
      <w:r w:rsidR="0014466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were </w:t>
      </w:r>
      <w:r w:rsidR="00E67A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in grades 5-7. </w:t>
      </w:r>
    </w:p>
    <w:p w14:paraId="5F5AD1B1" w14:textId="77777777" w:rsidR="0095333C" w:rsidRDefault="0095333C" w:rsidP="003D7817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14:paraId="3A2B6AAA" w14:textId="77777777" w:rsidR="004A31D7" w:rsidRDefault="007C18BB" w:rsidP="0095333C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14:paraId="2EA7BCCC" w14:textId="77777777" w:rsidR="004A31D7" w:rsidRDefault="004A31D7">
      <w:pPr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br w:type="page"/>
      </w:r>
    </w:p>
    <w:p w14:paraId="7402AB0F" w14:textId="4C78E56B" w:rsidR="00EA0441" w:rsidRPr="001567E8" w:rsidRDefault="001567E8" w:rsidP="005C3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Survey Findings according to the Roma Integration Progress Assessment Criteria set in An</w:t>
      </w:r>
      <w:r w:rsidR="00D014C3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x 3 of </w:t>
      </w:r>
      <w:r w:rsidRPr="001567E8">
        <w:rPr>
          <w:rFonts w:ascii="Times New Roman" w:hAnsi="Times New Roman" w:cs="Times New Roman"/>
          <w:b/>
          <w:sz w:val="24"/>
          <w:szCs w:val="24"/>
        </w:rPr>
        <w:t>the Action Plan for Integration of Roma into Lithuanian Society 2015-</w:t>
      </w: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EA0441" w14:paraId="03F98837" w14:textId="77777777" w:rsidTr="003D68FF">
        <w:tc>
          <w:tcPr>
            <w:tcW w:w="5637" w:type="dxa"/>
          </w:tcPr>
          <w:p w14:paraId="25694D32" w14:textId="3BCC9264" w:rsidR="00EA0441" w:rsidRPr="00EA0441" w:rsidRDefault="008A6CA9" w:rsidP="00EA0441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Indicator</w:t>
            </w:r>
          </w:p>
        </w:tc>
        <w:tc>
          <w:tcPr>
            <w:tcW w:w="4217" w:type="dxa"/>
          </w:tcPr>
          <w:p w14:paraId="53C33C9F" w14:textId="7EEC8855" w:rsidR="00EA0441" w:rsidRPr="00EA0441" w:rsidRDefault="008A6CA9" w:rsidP="008A6CA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Roma Survey </w:t>
            </w:r>
            <w:r w:rsidR="00EA044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2015 </w:t>
            </w:r>
          </w:p>
        </w:tc>
      </w:tr>
      <w:tr w:rsidR="003D68FF" w14:paraId="461C0326" w14:textId="77777777" w:rsidTr="003D68FF">
        <w:tc>
          <w:tcPr>
            <w:tcW w:w="5637" w:type="dxa"/>
            <w:shd w:val="clear" w:color="auto" w:fill="FDE9D9" w:themeFill="accent6" w:themeFillTint="33"/>
          </w:tcPr>
          <w:p w14:paraId="16EB6167" w14:textId="069BFCB0" w:rsidR="003D68FF" w:rsidRPr="003D68FF" w:rsidRDefault="008A6CA9" w:rsidP="003D68FF">
            <w:pPr>
              <w:spacing w:before="120" w:after="120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Education</w:t>
            </w:r>
          </w:p>
        </w:tc>
        <w:tc>
          <w:tcPr>
            <w:tcW w:w="4217" w:type="dxa"/>
            <w:shd w:val="clear" w:color="auto" w:fill="FDE9D9" w:themeFill="accent6" w:themeFillTint="33"/>
          </w:tcPr>
          <w:p w14:paraId="5F046177" w14:textId="77777777" w:rsidR="003D68FF" w:rsidRDefault="003D68FF" w:rsidP="003D68FF">
            <w:pPr>
              <w:spacing w:before="120" w:after="12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EA0441" w14:paraId="4DDE650B" w14:textId="77777777" w:rsidTr="003D68FF">
        <w:tc>
          <w:tcPr>
            <w:tcW w:w="5637" w:type="dxa"/>
          </w:tcPr>
          <w:p w14:paraId="3BB19861" w14:textId="5D4D0829" w:rsidR="00EA0441" w:rsidRDefault="00EA0441" w:rsidP="000852AB">
            <w:pPr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i/>
              </w:rPr>
              <w:t>1.1.1</w:t>
            </w:r>
            <w:r>
              <w:rPr>
                <w:rFonts w:ascii="Times New Roman" w:hAnsi="Times New Roman"/>
                <w:i/>
              </w:rPr>
              <w:t>.</w:t>
            </w:r>
            <w:r w:rsidR="0005782B">
              <w:rPr>
                <w:rFonts w:ascii="Times New Roman" w:hAnsi="Times New Roman"/>
                <w:i/>
              </w:rPr>
              <w:t xml:space="preserve"> share of children enrolled in pre-school</w:t>
            </w:r>
            <w:r w:rsidR="000852AB">
              <w:rPr>
                <w:rFonts w:ascii="Times New Roman" w:hAnsi="Times New Roman"/>
                <w:i/>
              </w:rPr>
              <w:t xml:space="preserve"> and pre-primary education programmes </w:t>
            </w:r>
          </w:p>
        </w:tc>
        <w:tc>
          <w:tcPr>
            <w:tcW w:w="4217" w:type="dxa"/>
          </w:tcPr>
          <w:p w14:paraId="272F9755" w14:textId="0F6A8F4C" w:rsidR="00EA0441" w:rsidRDefault="004505E2" w:rsidP="003D68FF">
            <w:pPr>
              <w:spacing w:before="120" w:after="12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25%</w:t>
            </w:r>
          </w:p>
          <w:p w14:paraId="67CD6667" w14:textId="49C08D0F" w:rsidR="003D68FF" w:rsidRDefault="003D68FF" w:rsidP="0005782B">
            <w:pPr>
              <w:spacing w:before="120" w:after="12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/ 1–6 </w:t>
            </w:r>
            <w:r w:rsidR="000E60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y</w:t>
            </w:r>
            <w:r w:rsidR="006B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ear</w:t>
            </w:r>
            <w:r w:rsidR="000E60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old</w:t>
            </w:r>
            <w:r w:rsidR="006B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</w:t>
            </w:r>
            <w:r w:rsidR="000E60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in </w:t>
            </w:r>
            <w:r w:rsidR="0005782B" w:rsidRPr="000578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kindergart</w:t>
            </w:r>
            <w:r w:rsidR="000E60D3" w:rsidRPr="000578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ens</w:t>
            </w:r>
            <w:r w:rsidR="000E60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and pre-school education </w:t>
            </w:r>
            <w:r w:rsidR="000578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programmes</w:t>
            </w:r>
          </w:p>
        </w:tc>
      </w:tr>
      <w:tr w:rsidR="003D68FF" w14:paraId="71F02532" w14:textId="77777777" w:rsidTr="003D68FF">
        <w:tc>
          <w:tcPr>
            <w:tcW w:w="5637" w:type="dxa"/>
          </w:tcPr>
          <w:p w14:paraId="67D738DA" w14:textId="7A8AB44D" w:rsidR="003D68FF" w:rsidRPr="0037685B" w:rsidRDefault="003D68FF" w:rsidP="00DE711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1.2.1. </w:t>
            </w:r>
            <w:r w:rsidR="0005782B">
              <w:rPr>
                <w:rFonts w:ascii="Times New Roman" w:hAnsi="Times New Roman"/>
                <w:i/>
              </w:rPr>
              <w:t>illiteracy rate</w:t>
            </w:r>
            <w:r w:rsidRPr="0037685B">
              <w:rPr>
                <w:rFonts w:ascii="Times New Roman" w:hAnsi="Times New Roman"/>
                <w:i/>
              </w:rPr>
              <w:t xml:space="preserve"> / </w:t>
            </w:r>
            <w:r w:rsidR="0005782B">
              <w:rPr>
                <w:rFonts w:ascii="Times New Roman" w:hAnsi="Times New Roman"/>
                <w:i/>
              </w:rPr>
              <w:t>rate of early leavers from primary edcuation programmes</w:t>
            </w:r>
            <w:r w:rsidR="00DE711D">
              <w:rPr>
                <w:rFonts w:ascii="Times New Roman" w:hAnsi="Times New Roman"/>
                <w:i/>
              </w:rPr>
              <w:t>,</w:t>
            </w:r>
            <w:r w:rsidR="000852AB">
              <w:rPr>
                <w:rFonts w:ascii="Times New Roman" w:hAnsi="Times New Roman"/>
                <w:i/>
              </w:rPr>
              <w:t xml:space="preserve"> age </w:t>
            </w:r>
            <w:r w:rsidR="000852AB" w:rsidRPr="00EC711D">
              <w:rPr>
                <w:rFonts w:ascii="Times New Roman" w:hAnsi="Times New Roman"/>
                <w:i/>
              </w:rPr>
              <w:t>group 10-19</w:t>
            </w:r>
            <w:r w:rsidR="000852A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217" w:type="dxa"/>
          </w:tcPr>
          <w:p w14:paraId="46ACE593" w14:textId="4FCD8DA8" w:rsidR="003D68FF" w:rsidRDefault="00C82AB9" w:rsidP="003D68FF">
            <w:pPr>
              <w:spacing w:before="120" w:after="12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35 </w:t>
            </w:r>
            <w:r w:rsidR="004505E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D68FF" w14:paraId="51A629FB" w14:textId="77777777" w:rsidTr="003D68FF">
        <w:tc>
          <w:tcPr>
            <w:tcW w:w="5637" w:type="dxa"/>
          </w:tcPr>
          <w:p w14:paraId="24CFE57A" w14:textId="01AF613D" w:rsidR="003D68FF" w:rsidRPr="0037685B" w:rsidRDefault="003D68FF" w:rsidP="00DE711D">
            <w:pP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1.2.2. </w:t>
            </w:r>
            <w:r w:rsidR="002362C2">
              <w:rPr>
                <w:rFonts w:ascii="Times New Roman" w:hAnsi="Times New Roman"/>
                <w:i/>
              </w:rPr>
              <w:t xml:space="preserve">share of </w:t>
            </w:r>
            <w:r w:rsidR="00DE711D">
              <w:rPr>
                <w:rFonts w:ascii="Times New Roman" w:hAnsi="Times New Roman"/>
                <w:i/>
              </w:rPr>
              <w:t xml:space="preserve">10-19 year old </w:t>
            </w:r>
            <w:r w:rsidR="002362C2">
              <w:rPr>
                <w:rFonts w:ascii="Times New Roman" w:hAnsi="Times New Roman"/>
                <w:i/>
              </w:rPr>
              <w:t xml:space="preserve">persons with primary education </w:t>
            </w:r>
          </w:p>
        </w:tc>
        <w:tc>
          <w:tcPr>
            <w:tcW w:w="4217" w:type="dxa"/>
          </w:tcPr>
          <w:p w14:paraId="56A34BF7" w14:textId="3C531DAC" w:rsidR="003D68FF" w:rsidRDefault="00C82AB9" w:rsidP="003D68FF">
            <w:pPr>
              <w:spacing w:before="120" w:after="12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56 </w:t>
            </w:r>
            <w:r w:rsidR="004505E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D68FF" w14:paraId="676FEEBF" w14:textId="77777777" w:rsidTr="003D68FF">
        <w:tc>
          <w:tcPr>
            <w:tcW w:w="5637" w:type="dxa"/>
          </w:tcPr>
          <w:p w14:paraId="6EA5678F" w14:textId="3995FA44" w:rsidR="003D68FF" w:rsidRPr="0037685B" w:rsidRDefault="003D68FF" w:rsidP="002362C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i/>
              </w:rPr>
              <w:t>1.2.3.</w:t>
            </w:r>
            <w:r w:rsidR="00EC711D">
              <w:rPr>
                <w:rFonts w:ascii="Times New Roman" w:hAnsi="Times New Roman"/>
                <w:i/>
              </w:rPr>
              <w:t xml:space="preserve"> </w:t>
            </w:r>
            <w:r w:rsidR="002362C2">
              <w:rPr>
                <w:rFonts w:ascii="Times New Roman" w:hAnsi="Times New Roman"/>
                <w:i/>
              </w:rPr>
              <w:t>share of persons with basic education in the age group 10-19</w:t>
            </w:r>
            <w:r w:rsidRPr="0037685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217" w:type="dxa"/>
          </w:tcPr>
          <w:p w14:paraId="5A82CFEF" w14:textId="0F081849" w:rsidR="003D68FF" w:rsidRDefault="00C82AB9" w:rsidP="003D68FF">
            <w:pPr>
              <w:spacing w:before="120" w:after="12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8 </w:t>
            </w:r>
            <w:r w:rsidR="004505E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D68FF" w14:paraId="5B9ECE26" w14:textId="77777777" w:rsidTr="003D68FF">
        <w:tc>
          <w:tcPr>
            <w:tcW w:w="5637" w:type="dxa"/>
          </w:tcPr>
          <w:p w14:paraId="4C26F6F1" w14:textId="7828A47F" w:rsidR="003D68FF" w:rsidRPr="0037685B" w:rsidRDefault="003D68FF" w:rsidP="00DE711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1.2.4. </w:t>
            </w:r>
            <w:r w:rsidR="002362C2">
              <w:rPr>
                <w:rFonts w:ascii="Times New Roman" w:hAnsi="Times New Roman"/>
                <w:i/>
              </w:rPr>
              <w:t>share of</w:t>
            </w:r>
            <w:r w:rsidR="00DE711D">
              <w:rPr>
                <w:rFonts w:ascii="Times New Roman" w:hAnsi="Times New Roman"/>
                <w:i/>
              </w:rPr>
              <w:t xml:space="preserve"> 10-19 year old</w:t>
            </w:r>
            <w:r w:rsidR="002362C2">
              <w:rPr>
                <w:rFonts w:ascii="Times New Roman" w:hAnsi="Times New Roman"/>
                <w:i/>
              </w:rPr>
              <w:t xml:space="preserve"> persons with secondary education </w:t>
            </w:r>
          </w:p>
        </w:tc>
        <w:tc>
          <w:tcPr>
            <w:tcW w:w="4217" w:type="dxa"/>
          </w:tcPr>
          <w:p w14:paraId="0DDC686D" w14:textId="26DF96DA" w:rsidR="003D68FF" w:rsidRDefault="00C82AB9" w:rsidP="003D68FF">
            <w:pPr>
              <w:spacing w:before="120" w:after="12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</w:t>
            </w:r>
            <w:r w:rsidR="004505E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D68FF" w14:paraId="4480948F" w14:textId="77777777" w:rsidTr="003D68FF">
        <w:tc>
          <w:tcPr>
            <w:tcW w:w="5637" w:type="dxa"/>
          </w:tcPr>
          <w:p w14:paraId="76577C9D" w14:textId="6E315A6C" w:rsidR="003D68FF" w:rsidRDefault="003D68FF" w:rsidP="002362C2">
            <w:pPr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1.3.1. </w:t>
            </w:r>
            <w:r w:rsidR="002362C2">
              <w:rPr>
                <w:rFonts w:ascii="Times New Roman" w:hAnsi="Times New Roman"/>
                <w:i/>
              </w:rPr>
              <w:t xml:space="preserve">share of children involved in informal education programmes </w:t>
            </w:r>
          </w:p>
        </w:tc>
        <w:tc>
          <w:tcPr>
            <w:tcW w:w="4217" w:type="dxa"/>
          </w:tcPr>
          <w:p w14:paraId="15549A0F" w14:textId="3805E27A" w:rsidR="003D68FF" w:rsidRDefault="003D68FF" w:rsidP="003D68FF">
            <w:pPr>
              <w:spacing w:before="120" w:after="12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33 </w:t>
            </w:r>
            <w:r w:rsidR="004505E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69A6F136" w14:textId="34289E93" w:rsidR="003D68FF" w:rsidRDefault="003D68FF" w:rsidP="002362C2">
            <w:pPr>
              <w:spacing w:before="120" w:after="12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/ </w:t>
            </w:r>
            <w:r w:rsidR="002362C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attend children day or occupation centres </w:t>
            </w:r>
          </w:p>
        </w:tc>
      </w:tr>
      <w:tr w:rsidR="003D68FF" w14:paraId="12DA87B4" w14:textId="77777777" w:rsidTr="003D68FF">
        <w:tc>
          <w:tcPr>
            <w:tcW w:w="5637" w:type="dxa"/>
          </w:tcPr>
          <w:p w14:paraId="13D01A07" w14:textId="4A3B9CCA" w:rsidR="003D68FF" w:rsidRPr="002362C2" w:rsidRDefault="003D68FF" w:rsidP="00091FC9">
            <w:pPr>
              <w:rPr>
                <w:rFonts w:ascii="Times New Roman" w:hAnsi="Times New Roman"/>
                <w:i/>
                <w:highlight w:val="green"/>
              </w:rPr>
            </w:pPr>
            <w:r w:rsidRPr="00091FC9">
              <w:rPr>
                <w:rFonts w:ascii="Times New Roman" w:hAnsi="Times New Roman"/>
                <w:i/>
              </w:rPr>
              <w:t xml:space="preserve">1.4.1. </w:t>
            </w:r>
            <w:r w:rsidR="002362C2" w:rsidRPr="00091FC9">
              <w:rPr>
                <w:rFonts w:ascii="Times New Roman" w:hAnsi="Times New Roman"/>
                <w:i/>
              </w:rPr>
              <w:t xml:space="preserve">share of </w:t>
            </w:r>
            <w:r w:rsidR="00091FC9">
              <w:rPr>
                <w:rFonts w:ascii="Times New Roman" w:hAnsi="Times New Roman"/>
                <w:i/>
              </w:rPr>
              <w:t>20 year</w:t>
            </w:r>
            <w:r w:rsidR="00DE711D">
              <w:rPr>
                <w:rFonts w:ascii="Times New Roman" w:hAnsi="Times New Roman"/>
                <w:i/>
              </w:rPr>
              <w:t>s</w:t>
            </w:r>
            <w:r w:rsidR="00091FC9">
              <w:rPr>
                <w:rFonts w:ascii="Times New Roman" w:hAnsi="Times New Roman"/>
                <w:i/>
              </w:rPr>
              <w:t xml:space="preserve"> old or older </w:t>
            </w:r>
            <w:r w:rsidR="002362C2" w:rsidRPr="00091FC9">
              <w:rPr>
                <w:rFonts w:ascii="Times New Roman" w:hAnsi="Times New Roman"/>
                <w:i/>
              </w:rPr>
              <w:t xml:space="preserve">persons with primary education </w:t>
            </w:r>
          </w:p>
        </w:tc>
        <w:tc>
          <w:tcPr>
            <w:tcW w:w="4217" w:type="dxa"/>
          </w:tcPr>
          <w:p w14:paraId="31833D7C" w14:textId="048DFD99" w:rsidR="003D68FF" w:rsidRPr="003D68FF" w:rsidRDefault="003D68FF" w:rsidP="003D68FF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 </w:t>
            </w:r>
            <w:r w:rsidR="0045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D68FF" w14:paraId="06D0DF3D" w14:textId="77777777" w:rsidTr="003D68FF">
        <w:tc>
          <w:tcPr>
            <w:tcW w:w="5637" w:type="dxa"/>
          </w:tcPr>
          <w:p w14:paraId="6494CD12" w14:textId="40574F24" w:rsidR="003D68FF" w:rsidRPr="00DE711D" w:rsidRDefault="003D68FF" w:rsidP="00DE711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E711D">
              <w:rPr>
                <w:rFonts w:ascii="Times New Roman" w:hAnsi="Times New Roman"/>
                <w:i/>
              </w:rPr>
              <w:t xml:space="preserve">1.4.2. </w:t>
            </w:r>
            <w:r w:rsidR="002362C2" w:rsidRPr="00DE711D">
              <w:rPr>
                <w:rFonts w:ascii="Times New Roman" w:hAnsi="Times New Roman"/>
                <w:i/>
              </w:rPr>
              <w:t xml:space="preserve">chare of </w:t>
            </w:r>
            <w:r w:rsidR="00DE711D" w:rsidRPr="00DE711D">
              <w:rPr>
                <w:rFonts w:ascii="Times New Roman" w:hAnsi="Times New Roman"/>
                <w:i/>
              </w:rPr>
              <w:t xml:space="preserve">20 years old or older </w:t>
            </w:r>
            <w:r w:rsidR="002362C2" w:rsidRPr="00DE711D">
              <w:rPr>
                <w:rFonts w:ascii="Times New Roman" w:hAnsi="Times New Roman"/>
                <w:i/>
              </w:rPr>
              <w:t xml:space="preserve">persons with basic education </w:t>
            </w:r>
          </w:p>
        </w:tc>
        <w:tc>
          <w:tcPr>
            <w:tcW w:w="4217" w:type="dxa"/>
          </w:tcPr>
          <w:p w14:paraId="3B8C0CB9" w14:textId="6DB1F605" w:rsidR="003D68FF" w:rsidRPr="003D68FF" w:rsidRDefault="003D68FF" w:rsidP="003D68FF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 </w:t>
            </w:r>
            <w:r w:rsidR="004505E2" w:rsidRPr="00DE7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D68FF" w14:paraId="12012C0E" w14:textId="77777777" w:rsidTr="003D68FF">
        <w:tc>
          <w:tcPr>
            <w:tcW w:w="5637" w:type="dxa"/>
          </w:tcPr>
          <w:p w14:paraId="1610EC52" w14:textId="29ED8EDA" w:rsidR="003D68FF" w:rsidRPr="0037685B" w:rsidRDefault="003D68FF" w:rsidP="002362C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1.4.3. </w:t>
            </w:r>
            <w:r w:rsidR="002362C2">
              <w:rPr>
                <w:rFonts w:ascii="Times New Roman" w:hAnsi="Times New Roman"/>
                <w:i/>
              </w:rPr>
              <w:t>share of</w:t>
            </w:r>
            <w:r w:rsidR="00DE711D">
              <w:rPr>
                <w:rFonts w:ascii="Times New Roman" w:hAnsi="Times New Roman"/>
                <w:i/>
              </w:rPr>
              <w:t xml:space="preserve"> 20 years old or older</w:t>
            </w:r>
            <w:r w:rsidR="002362C2">
              <w:rPr>
                <w:rFonts w:ascii="Times New Roman" w:hAnsi="Times New Roman"/>
                <w:i/>
              </w:rPr>
              <w:t xml:space="preserve"> persons with secondary and college educatio</w:t>
            </w:r>
            <w:r w:rsidR="00DE711D">
              <w:rPr>
                <w:rFonts w:ascii="Times New Roman" w:hAnsi="Times New Roman"/>
                <w:i/>
              </w:rPr>
              <w:t>n</w:t>
            </w:r>
            <w:r w:rsidR="002362C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217" w:type="dxa"/>
          </w:tcPr>
          <w:p w14:paraId="2246D25E" w14:textId="05D923AB" w:rsidR="003D68FF" w:rsidRPr="003D68FF" w:rsidRDefault="003D68FF" w:rsidP="003D68FF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 </w:t>
            </w:r>
            <w:r w:rsidR="0045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D68FF" w14:paraId="76ECF6C3" w14:textId="77777777" w:rsidTr="003D68FF">
        <w:tc>
          <w:tcPr>
            <w:tcW w:w="5637" w:type="dxa"/>
          </w:tcPr>
          <w:p w14:paraId="5203C8A3" w14:textId="737E2B49" w:rsidR="003D68FF" w:rsidRPr="0037685B" w:rsidRDefault="003D68FF" w:rsidP="002362C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1.4.4. </w:t>
            </w:r>
            <w:r w:rsidR="002362C2">
              <w:rPr>
                <w:rFonts w:ascii="Times New Roman" w:hAnsi="Times New Roman"/>
                <w:i/>
              </w:rPr>
              <w:t xml:space="preserve">a share of adult persons invovled in life-long-learning programmes </w:t>
            </w:r>
          </w:p>
        </w:tc>
        <w:tc>
          <w:tcPr>
            <w:tcW w:w="4217" w:type="dxa"/>
          </w:tcPr>
          <w:p w14:paraId="7634EDDA" w14:textId="2DAC6AA0" w:rsidR="003D68FF" w:rsidRDefault="003D68FF" w:rsidP="003D68FF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8,5 </w:t>
            </w:r>
            <w:r w:rsidR="0045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14:paraId="6795BFD3" w14:textId="69649BF1" w:rsidR="003D68FF" w:rsidRPr="003D68FF" w:rsidRDefault="003D68FF" w:rsidP="002362C2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 w:rsidR="00236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participated in labour exchange training courses, informal adult education programmes </w:t>
            </w:r>
          </w:p>
        </w:tc>
      </w:tr>
      <w:tr w:rsidR="003D68FF" w14:paraId="35A9BEAF" w14:textId="77777777" w:rsidTr="003D68FF">
        <w:tc>
          <w:tcPr>
            <w:tcW w:w="5637" w:type="dxa"/>
          </w:tcPr>
          <w:p w14:paraId="7BC3935E" w14:textId="79D5E295" w:rsidR="003D68FF" w:rsidRPr="0037685B" w:rsidRDefault="003D68FF" w:rsidP="00CF1114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1.4.5. </w:t>
            </w:r>
            <w:r w:rsidR="000E40E4">
              <w:rPr>
                <w:rFonts w:ascii="Times New Roman" w:hAnsi="Times New Roman"/>
                <w:i/>
              </w:rPr>
              <w:t xml:space="preserve">share of </w:t>
            </w:r>
            <w:r w:rsidR="00CF1114">
              <w:rPr>
                <w:rFonts w:ascii="Times New Roman" w:hAnsi="Times New Roman"/>
                <w:i/>
              </w:rPr>
              <w:t xml:space="preserve">20–29 years old </w:t>
            </w:r>
            <w:r w:rsidR="000E40E4">
              <w:rPr>
                <w:rFonts w:ascii="Times New Roman" w:hAnsi="Times New Roman"/>
                <w:i/>
              </w:rPr>
              <w:t xml:space="preserve">persons with secondary and college education </w:t>
            </w:r>
          </w:p>
        </w:tc>
        <w:tc>
          <w:tcPr>
            <w:tcW w:w="4217" w:type="dxa"/>
          </w:tcPr>
          <w:p w14:paraId="18F97928" w14:textId="26DFABF2" w:rsidR="003D68FF" w:rsidRPr="003D68FF" w:rsidRDefault="003D68FF" w:rsidP="003D68FF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 </w:t>
            </w:r>
            <w:r w:rsidR="0045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D68FF" w14:paraId="3DD00EB7" w14:textId="77777777" w:rsidTr="002817AD">
        <w:tc>
          <w:tcPr>
            <w:tcW w:w="5637" w:type="dxa"/>
            <w:shd w:val="clear" w:color="auto" w:fill="FDE9D9" w:themeFill="accent6" w:themeFillTint="33"/>
          </w:tcPr>
          <w:p w14:paraId="4C052088" w14:textId="2035B33F" w:rsidR="003D68FF" w:rsidRPr="002817AD" w:rsidRDefault="008A6CA9" w:rsidP="004A4833">
            <w:pPr>
              <w:spacing w:before="120" w:after="120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Health</w:t>
            </w:r>
          </w:p>
        </w:tc>
        <w:tc>
          <w:tcPr>
            <w:tcW w:w="4217" w:type="dxa"/>
            <w:shd w:val="clear" w:color="auto" w:fill="FDE9D9" w:themeFill="accent6" w:themeFillTint="33"/>
          </w:tcPr>
          <w:p w14:paraId="7BBDDCE4" w14:textId="77777777" w:rsidR="003D68FF" w:rsidRDefault="003D68FF" w:rsidP="003D68FF">
            <w:pPr>
              <w:spacing w:before="120" w:after="12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3D68FF" w14:paraId="0ABD2867" w14:textId="77777777" w:rsidTr="003D68FF">
        <w:tc>
          <w:tcPr>
            <w:tcW w:w="5637" w:type="dxa"/>
          </w:tcPr>
          <w:p w14:paraId="71D14DEE" w14:textId="65271A07" w:rsidR="003D68FF" w:rsidRPr="002817AD" w:rsidRDefault="002817AD" w:rsidP="004427EE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2.1.1. </w:t>
            </w:r>
            <w:r w:rsidR="004427EE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share of persons covered by the compulsory health insurance </w:t>
            </w:r>
          </w:p>
        </w:tc>
        <w:tc>
          <w:tcPr>
            <w:tcW w:w="4217" w:type="dxa"/>
          </w:tcPr>
          <w:p w14:paraId="05A7A04C" w14:textId="515C45E3" w:rsidR="003D68FF" w:rsidRDefault="00731295" w:rsidP="003D68FF">
            <w:pPr>
              <w:spacing w:before="120" w:after="12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91%</w:t>
            </w:r>
          </w:p>
        </w:tc>
      </w:tr>
      <w:tr w:rsidR="003D68FF" w14:paraId="479D174A" w14:textId="77777777" w:rsidTr="00E03990">
        <w:tc>
          <w:tcPr>
            <w:tcW w:w="5637" w:type="dxa"/>
            <w:shd w:val="clear" w:color="auto" w:fill="FDE9D9" w:themeFill="accent6" w:themeFillTint="33"/>
          </w:tcPr>
          <w:p w14:paraId="15C3B204" w14:textId="39862CAC" w:rsidR="003D68FF" w:rsidRPr="00E03990" w:rsidRDefault="008A6CA9" w:rsidP="004A4833">
            <w:pPr>
              <w:spacing w:before="120" w:after="120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Employment</w:t>
            </w:r>
          </w:p>
        </w:tc>
        <w:tc>
          <w:tcPr>
            <w:tcW w:w="4217" w:type="dxa"/>
            <w:shd w:val="clear" w:color="auto" w:fill="FDE9D9" w:themeFill="accent6" w:themeFillTint="33"/>
          </w:tcPr>
          <w:p w14:paraId="0F90F895" w14:textId="77777777" w:rsidR="003D68FF" w:rsidRPr="004A4833" w:rsidRDefault="003D68FF" w:rsidP="004A4833">
            <w:pPr>
              <w:spacing w:before="120" w:after="120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E03990" w14:paraId="5B97DCAA" w14:textId="77777777" w:rsidTr="003D68FF">
        <w:tc>
          <w:tcPr>
            <w:tcW w:w="5637" w:type="dxa"/>
          </w:tcPr>
          <w:p w14:paraId="70933D55" w14:textId="5CF7406D" w:rsidR="00E03990" w:rsidRDefault="00E03990" w:rsidP="00CB7FC5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>3.1.1.</w:t>
            </w:r>
            <w:r w:rsidR="00CF1114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rate of </w:t>
            </w:r>
            <w:r w:rsidR="004427EE" w:rsidRPr="00CF1114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employment </w:t>
            </w: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>(</w:t>
            </w:r>
            <w:r w:rsidR="004505E2">
              <w:rPr>
                <w:rFonts w:ascii="Times New Roman" w:hAnsi="Times New Roman" w:cs="Times New Roman"/>
                <w:i/>
                <w:snapToGrid w:val="0"/>
                <w:color w:val="000000"/>
              </w:rPr>
              <w:t>%</w:t>
            </w: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) </w:t>
            </w:r>
            <w:r w:rsidRPr="00EC136C">
              <w:rPr>
                <w:rFonts w:ascii="Times New Roman" w:hAnsi="Times New Roman" w:cs="Times New Roman"/>
                <w:i/>
                <w:snapToGrid w:val="0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  <w:r w:rsidRPr="0037685B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15 </w:t>
            </w:r>
            <w:r w:rsidR="00C60AA2">
              <w:rPr>
                <w:rFonts w:ascii="Times New Roman" w:hAnsi="Times New Roman" w:cs="Times New Roman"/>
                <w:i/>
                <w:snapToGrid w:val="0"/>
                <w:color w:val="000000"/>
              </w:rPr>
              <w:t>year</w:t>
            </w:r>
            <w:r w:rsidR="004427EE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old</w:t>
            </w:r>
            <w:r w:rsidR="00C60AA2">
              <w:rPr>
                <w:rFonts w:ascii="Times New Roman" w:hAnsi="Times New Roman" w:cs="Times New Roman"/>
                <w:i/>
                <w:snapToGrid w:val="0"/>
                <w:color w:val="000000"/>
              </w:rPr>
              <w:t>s</w:t>
            </w:r>
            <w:r w:rsidR="004427EE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  <w:r w:rsidR="00C60AA2">
              <w:rPr>
                <w:rFonts w:ascii="Times New Roman" w:hAnsi="Times New Roman" w:cs="Times New Roman"/>
                <w:i/>
                <w:snapToGrid w:val="0"/>
                <w:color w:val="000000"/>
              </w:rPr>
              <w:t>and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older persons</w:t>
            </w:r>
            <w:r w:rsidRPr="0037685B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  <w:r w:rsidR="00C60AA2">
              <w:rPr>
                <w:rFonts w:ascii="Times New Roman" w:hAnsi="Times New Roman" w:cs="Times New Roman"/>
                <w:i/>
                <w:snapToGrid w:val="0"/>
                <w:color w:val="000000"/>
              </w:rPr>
              <w:t>who have any kind of job for which they are remu</w:t>
            </w:r>
            <w:r w:rsidR="00CF1114">
              <w:rPr>
                <w:rFonts w:ascii="Times New Roman" w:hAnsi="Times New Roman" w:cs="Times New Roman"/>
                <w:i/>
                <w:snapToGrid w:val="0"/>
                <w:color w:val="000000"/>
              </w:rPr>
              <w:t>ne</w:t>
            </w:r>
            <w:r w:rsidR="00C60AA2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rated either in cash or in kind (food or other goods) or earn profit (income) </w:t>
            </w:r>
          </w:p>
          <w:p w14:paraId="5BA4E2B5" w14:textId="77777777" w:rsidR="00E03990" w:rsidRPr="0037685B" w:rsidRDefault="00E03990" w:rsidP="00CB7FC5">
            <w:pPr>
              <w:rPr>
                <w:rFonts w:ascii="Times New Roman" w:hAnsi="Times New Roman" w:cs="Times New Roman"/>
                <w:i/>
                <w:snapToGrid w:val="0"/>
                <w:color w:val="000000"/>
                <w:highlight w:val="yellow"/>
              </w:rPr>
            </w:pPr>
          </w:p>
        </w:tc>
        <w:tc>
          <w:tcPr>
            <w:tcW w:w="4217" w:type="dxa"/>
          </w:tcPr>
          <w:p w14:paraId="5F9A2B45" w14:textId="7C238E37" w:rsidR="00E03990" w:rsidRDefault="00731295" w:rsidP="00E03990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  <w:r w:rsidR="00E03990" w:rsidRPr="00E039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14:paraId="387AD706" w14:textId="600D649B" w:rsidR="00E03990" w:rsidRPr="00E03990" w:rsidRDefault="00E03990" w:rsidP="00607290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C6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hired </w:t>
            </w:r>
            <w:r w:rsidR="006072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labour</w:t>
            </w:r>
            <w:r w:rsidR="00C6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and self-employed </w:t>
            </w:r>
          </w:p>
        </w:tc>
      </w:tr>
      <w:tr w:rsidR="00E03990" w14:paraId="4CEE4F3C" w14:textId="77777777" w:rsidTr="003D68FF">
        <w:tc>
          <w:tcPr>
            <w:tcW w:w="5637" w:type="dxa"/>
          </w:tcPr>
          <w:p w14:paraId="6BF95DA4" w14:textId="559897A9" w:rsidR="00E03990" w:rsidRPr="0037685B" w:rsidRDefault="00E03990" w:rsidP="00C60AA2">
            <w:pPr>
              <w:rPr>
                <w:rFonts w:ascii="Times New Roman" w:hAnsi="Times New Roman" w:cs="Times New Roman"/>
                <w:i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3.1.2. </w:t>
            </w:r>
            <w:r w:rsidR="00731295">
              <w:rPr>
                <w:rFonts w:ascii="Times New Roman" w:hAnsi="Times New Roman" w:cs="Times New Roman"/>
                <w:i/>
                <w:snapToGrid w:val="0"/>
                <w:color w:val="000000"/>
              </w:rPr>
              <w:t>rate of u</w:t>
            </w:r>
            <w:r w:rsidR="00CF1114">
              <w:rPr>
                <w:rFonts w:ascii="Times New Roman" w:hAnsi="Times New Roman" w:cs="Times New Roman"/>
                <w:i/>
                <w:snapToGrid w:val="0"/>
                <w:color w:val="000000"/>
              </w:rPr>
              <w:t>ne</w:t>
            </w:r>
            <w:r w:rsidR="00731295">
              <w:rPr>
                <w:rFonts w:ascii="Times New Roman" w:hAnsi="Times New Roman" w:cs="Times New Roman"/>
                <w:i/>
                <w:snapToGrid w:val="0"/>
                <w:color w:val="000000"/>
              </w:rPr>
              <w:t>mployment</w:t>
            </w: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  <w:r w:rsidRPr="0037685B">
              <w:rPr>
                <w:rFonts w:ascii="Times New Roman" w:hAnsi="Times New Roman" w:cs="Times New Roman"/>
                <w:i/>
                <w:snapToGrid w:val="0"/>
                <w:color w:val="000000"/>
              </w:rPr>
              <w:t>(</w:t>
            </w:r>
            <w:r w:rsidR="00731295">
              <w:rPr>
                <w:rFonts w:ascii="Times New Roman" w:hAnsi="Times New Roman" w:cs="Times New Roman"/>
                <w:i/>
                <w:snapToGrid w:val="0"/>
                <w:color w:val="000000"/>
                <w:lang w:val="en-US"/>
              </w:rPr>
              <w:t>%</w:t>
            </w:r>
            <w:r w:rsidRPr="0037685B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) </w:t>
            </w:r>
            <w:r w:rsidRPr="00033809">
              <w:rPr>
                <w:rFonts w:ascii="Times New Roman" w:hAnsi="Times New Roman" w:cs="Times New Roman"/>
                <w:i/>
                <w:snapToGrid w:val="0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  <w:r w:rsidRPr="0037685B">
              <w:rPr>
                <w:rFonts w:ascii="Times New Roman" w:hAnsi="Times New Roman" w:cs="Times New Roman"/>
                <w:i/>
                <w:snapToGrid w:val="0"/>
                <w:color w:val="000000"/>
              </w:rPr>
              <w:t>15</w:t>
            </w:r>
            <w:r w:rsidR="00731295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  <w:r w:rsidR="00C60AA2">
              <w:rPr>
                <w:rFonts w:ascii="Times New Roman" w:hAnsi="Times New Roman" w:cs="Times New Roman"/>
                <w:i/>
                <w:snapToGrid w:val="0"/>
                <w:color w:val="000000"/>
              </w:rPr>
              <w:t>year olds and older persons who have no job but are activelly looking for o</w:t>
            </w:r>
            <w:r w:rsidR="00A645F0">
              <w:rPr>
                <w:rFonts w:ascii="Times New Roman" w:hAnsi="Times New Roman" w:cs="Times New Roman"/>
                <w:i/>
                <w:snapToGrid w:val="0"/>
                <w:color w:val="000000"/>
              </w:rPr>
              <w:t>No</w:t>
            </w:r>
            <w:r w:rsidR="00C60AA2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  <w:r w:rsidRPr="0037685B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</w:p>
        </w:tc>
        <w:tc>
          <w:tcPr>
            <w:tcW w:w="4217" w:type="dxa"/>
          </w:tcPr>
          <w:p w14:paraId="588A4E65" w14:textId="29E9D37D" w:rsidR="00E03990" w:rsidRPr="00E03990" w:rsidRDefault="00731295" w:rsidP="00731295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38%</w:t>
            </w:r>
          </w:p>
        </w:tc>
      </w:tr>
      <w:tr w:rsidR="00E03990" w14:paraId="5C494F68" w14:textId="77777777" w:rsidTr="003D68FF">
        <w:tc>
          <w:tcPr>
            <w:tcW w:w="5637" w:type="dxa"/>
          </w:tcPr>
          <w:p w14:paraId="6D6282C4" w14:textId="165A1C17" w:rsidR="00E03990" w:rsidRPr="0037685B" w:rsidRDefault="00E03990" w:rsidP="00C60AA2">
            <w:pPr>
              <w:rPr>
                <w:rFonts w:ascii="Times New Roman" w:hAnsi="Times New Roman" w:cs="Times New Roman"/>
                <w:i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3.1.3. </w:t>
            </w:r>
            <w:r w:rsidR="00C60AA2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share of persons </w:t>
            </w:r>
            <w:r w:rsidR="00C60AA2" w:rsidRPr="00CF1114">
              <w:rPr>
                <w:rFonts w:ascii="Times New Roman" w:hAnsi="Times New Roman" w:cs="Times New Roman"/>
                <w:i/>
                <w:snapToGrid w:val="0"/>
                <w:color w:val="000000"/>
              </w:rPr>
              <w:t>whose</w:t>
            </w:r>
            <w:r w:rsidR="00C60AA2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main source of income is social be</w:t>
            </w:r>
            <w:r w:rsidR="00CF1114">
              <w:rPr>
                <w:rFonts w:ascii="Times New Roman" w:hAnsi="Times New Roman" w:cs="Times New Roman"/>
                <w:i/>
                <w:snapToGrid w:val="0"/>
                <w:color w:val="000000"/>
              </w:rPr>
              <w:t>ne</w:t>
            </w:r>
            <w:r w:rsidR="00C60AA2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fits </w:t>
            </w:r>
          </w:p>
        </w:tc>
        <w:tc>
          <w:tcPr>
            <w:tcW w:w="4217" w:type="dxa"/>
          </w:tcPr>
          <w:p w14:paraId="773F8E76" w14:textId="5F539FC7" w:rsidR="00E03990" w:rsidRPr="00E03990" w:rsidRDefault="00E03990" w:rsidP="00731295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9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731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03990" w14:paraId="64305984" w14:textId="77777777" w:rsidTr="003D68FF">
        <w:tc>
          <w:tcPr>
            <w:tcW w:w="5637" w:type="dxa"/>
          </w:tcPr>
          <w:p w14:paraId="03784371" w14:textId="337B9642" w:rsidR="00E03990" w:rsidRDefault="00E03990" w:rsidP="00CB7FC5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3.1.4. </w:t>
            </w:r>
            <w:r w:rsidR="004427EE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at-risk-of-poverty rate </w:t>
            </w:r>
          </w:p>
          <w:p w14:paraId="37C006CA" w14:textId="77777777" w:rsidR="00683400" w:rsidRPr="0037685B" w:rsidRDefault="00683400" w:rsidP="00CB7FC5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</w:p>
        </w:tc>
        <w:tc>
          <w:tcPr>
            <w:tcW w:w="4217" w:type="dxa"/>
          </w:tcPr>
          <w:p w14:paraId="5CD14AD3" w14:textId="5C942AD1" w:rsidR="00E03990" w:rsidRPr="0037685B" w:rsidRDefault="00AB765F" w:rsidP="00731295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  <w:r w:rsidR="00731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03990" w14:paraId="68CBF1C4" w14:textId="77777777" w:rsidTr="00E03990">
        <w:tc>
          <w:tcPr>
            <w:tcW w:w="5637" w:type="dxa"/>
            <w:shd w:val="clear" w:color="auto" w:fill="FDE9D9" w:themeFill="accent6" w:themeFillTint="33"/>
          </w:tcPr>
          <w:p w14:paraId="2DE70721" w14:textId="4D590622" w:rsidR="00E03990" w:rsidRPr="00E03990" w:rsidRDefault="00C60AA2" w:rsidP="00E03990">
            <w:pPr>
              <w:jc w:val="right"/>
              <w:rPr>
                <w:rFonts w:ascii="Times New Roman" w:hAnsi="Times New Roman" w:cs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color w:val="000000"/>
              </w:rPr>
              <w:lastRenderedPageBreak/>
              <w:t>Situation of Women</w:t>
            </w:r>
          </w:p>
          <w:p w14:paraId="13093F3A" w14:textId="77777777" w:rsidR="00E03990" w:rsidRDefault="00E03990" w:rsidP="00E03990">
            <w:pPr>
              <w:jc w:val="right"/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</w:p>
        </w:tc>
        <w:tc>
          <w:tcPr>
            <w:tcW w:w="4217" w:type="dxa"/>
            <w:shd w:val="clear" w:color="auto" w:fill="FDE9D9" w:themeFill="accent6" w:themeFillTint="33"/>
          </w:tcPr>
          <w:p w14:paraId="64CB5D6C" w14:textId="77777777" w:rsidR="00E03990" w:rsidRPr="0037685B" w:rsidRDefault="00E03990" w:rsidP="00CB7FC5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3990" w14:paraId="29927D70" w14:textId="77777777" w:rsidTr="003D68FF">
        <w:tc>
          <w:tcPr>
            <w:tcW w:w="5637" w:type="dxa"/>
          </w:tcPr>
          <w:p w14:paraId="7306DDDE" w14:textId="58A737CD" w:rsidR="00B3748A" w:rsidRDefault="00E03990" w:rsidP="00B3748A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>4.1.1.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  <w:r w:rsidR="00840CAD">
              <w:rPr>
                <w:rFonts w:ascii="Times New Roman" w:hAnsi="Times New Roman" w:cs="Times New Roman"/>
                <w:i/>
                <w:snapToGrid w:val="0"/>
                <w:color w:val="000000"/>
              </w:rPr>
              <w:t>rate of female</w:t>
            </w: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  <w:r w:rsidR="00B3748A" w:rsidRPr="00840CAD">
              <w:rPr>
                <w:rFonts w:ascii="Times New Roman" w:hAnsi="Times New Roman" w:cs="Times New Roman"/>
                <w:i/>
                <w:snapToGrid w:val="0"/>
                <w:color w:val="000000"/>
              </w:rPr>
              <w:t>employm</w:t>
            </w:r>
            <w:r w:rsidR="00840CAD" w:rsidRPr="00840CAD">
              <w:rPr>
                <w:rFonts w:ascii="Times New Roman" w:hAnsi="Times New Roman" w:cs="Times New Roman"/>
                <w:i/>
                <w:snapToGrid w:val="0"/>
                <w:color w:val="000000"/>
              </w:rPr>
              <w:t>ent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(%) </w:t>
            </w:r>
            <w:r w:rsidR="00B3748A" w:rsidRPr="00EC136C">
              <w:rPr>
                <w:rFonts w:ascii="Times New Roman" w:hAnsi="Times New Roman" w:cs="Times New Roman"/>
                <w:i/>
                <w:snapToGrid w:val="0"/>
                <w:color w:val="000000"/>
              </w:rPr>
              <w:t>–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  <w:r w:rsidR="00B3748A" w:rsidRPr="0037685B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15 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>year</w:t>
            </w:r>
            <w:r w:rsidR="00840CAD">
              <w:rPr>
                <w:rFonts w:ascii="Times New Roman" w:hAnsi="Times New Roman" w:cs="Times New Roman"/>
                <w:i/>
                <w:snapToGrid w:val="0"/>
                <w:color w:val="000000"/>
              </w:rPr>
              <w:t>s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old and older women</w:t>
            </w:r>
            <w:r w:rsidR="00B3748A" w:rsidRPr="0037685B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>who have any kind of job for which they are remu</w:t>
            </w:r>
            <w:r w:rsidR="00840CAD">
              <w:rPr>
                <w:rFonts w:ascii="Times New Roman" w:hAnsi="Times New Roman" w:cs="Times New Roman"/>
                <w:i/>
                <w:snapToGrid w:val="0"/>
                <w:color w:val="000000"/>
              </w:rPr>
              <w:t>ne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>rated either in cash or in kind (food or other goods) or earn profit (income)</w:t>
            </w:r>
          </w:p>
          <w:p w14:paraId="697A7C8A" w14:textId="283282CD" w:rsidR="00E03990" w:rsidRDefault="00E03990" w:rsidP="00CB7FC5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</w:p>
          <w:p w14:paraId="1B08B3BE" w14:textId="77777777" w:rsidR="00683400" w:rsidRPr="0037685B" w:rsidRDefault="00683400" w:rsidP="00CB7FC5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</w:p>
        </w:tc>
        <w:tc>
          <w:tcPr>
            <w:tcW w:w="4217" w:type="dxa"/>
          </w:tcPr>
          <w:p w14:paraId="37E4524C" w14:textId="1A45B7AC" w:rsidR="00E03990" w:rsidRDefault="00E03990" w:rsidP="00E03990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="0045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14:paraId="4D35F205" w14:textId="7458F638" w:rsidR="00E03990" w:rsidRPr="0037685B" w:rsidRDefault="00E03990" w:rsidP="00B3748A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B37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hired labour and self-employed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03990" w14:paraId="66CA4EF7" w14:textId="77777777" w:rsidTr="003D68FF">
        <w:tc>
          <w:tcPr>
            <w:tcW w:w="5637" w:type="dxa"/>
          </w:tcPr>
          <w:p w14:paraId="73E3006F" w14:textId="5C549749" w:rsidR="00E03990" w:rsidRDefault="00E03990" w:rsidP="00CB7FC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4.1.2. 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>share of</w:t>
            </w:r>
            <w:r w:rsidR="00840CAD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20 years old and older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women with primary</w:t>
            </w:r>
            <w:r w:rsidR="00840CAD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education</w:t>
            </w:r>
          </w:p>
          <w:p w14:paraId="66949EDA" w14:textId="77777777" w:rsidR="00683400" w:rsidRPr="0037685B" w:rsidRDefault="00683400" w:rsidP="00CB7FC5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</w:p>
        </w:tc>
        <w:tc>
          <w:tcPr>
            <w:tcW w:w="4217" w:type="dxa"/>
          </w:tcPr>
          <w:p w14:paraId="6E9F0D33" w14:textId="5271B696" w:rsidR="00E03990" w:rsidRPr="0037685B" w:rsidRDefault="0070594C" w:rsidP="0070594C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 </w:t>
            </w:r>
            <w:r w:rsidR="0045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03990" w14:paraId="00F9B5D3" w14:textId="77777777" w:rsidTr="003D68FF">
        <w:tc>
          <w:tcPr>
            <w:tcW w:w="5637" w:type="dxa"/>
          </w:tcPr>
          <w:p w14:paraId="7A445A3B" w14:textId="7FDB9C01" w:rsidR="00E03990" w:rsidRDefault="00E03990" w:rsidP="00CB7FC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4.1.3. 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share of </w:t>
            </w:r>
            <w:r w:rsidR="00840CAD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20 years old and older 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>women with basic</w:t>
            </w:r>
            <w:r w:rsidR="00840CAD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education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</w:p>
          <w:p w14:paraId="2B4676FB" w14:textId="77777777" w:rsidR="00683400" w:rsidRPr="0037685B" w:rsidRDefault="00683400" w:rsidP="00CB7FC5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</w:p>
        </w:tc>
        <w:tc>
          <w:tcPr>
            <w:tcW w:w="4217" w:type="dxa"/>
          </w:tcPr>
          <w:p w14:paraId="494F443D" w14:textId="301DE0C2" w:rsidR="00E03990" w:rsidRPr="0037685B" w:rsidRDefault="0070594C" w:rsidP="0070594C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 </w:t>
            </w:r>
            <w:r w:rsidR="0045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03990" w14:paraId="7690C4B3" w14:textId="77777777" w:rsidTr="003D68FF">
        <w:tc>
          <w:tcPr>
            <w:tcW w:w="5637" w:type="dxa"/>
          </w:tcPr>
          <w:p w14:paraId="06C11514" w14:textId="43013FD1" w:rsidR="00E03990" w:rsidRDefault="00E03990" w:rsidP="00CB7FC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4.1.4. 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share of </w:t>
            </w:r>
            <w:r w:rsidR="00840CAD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20 years ol and older 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>women with secondary and colleg</w:t>
            </w:r>
            <w:r w:rsidR="00840CAD">
              <w:rPr>
                <w:rFonts w:ascii="Times New Roman" w:hAnsi="Times New Roman" w:cs="Times New Roman"/>
                <w:i/>
                <w:snapToGrid w:val="0"/>
                <w:color w:val="000000"/>
              </w:rPr>
              <w:t>e education</w:t>
            </w:r>
            <w:r w:rsidR="00B3748A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</w:p>
          <w:p w14:paraId="3852674D" w14:textId="77777777" w:rsidR="00683400" w:rsidRPr="0037685B" w:rsidRDefault="00683400" w:rsidP="00CB7FC5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</w:p>
        </w:tc>
        <w:tc>
          <w:tcPr>
            <w:tcW w:w="4217" w:type="dxa"/>
          </w:tcPr>
          <w:p w14:paraId="4C51BB71" w14:textId="23BE4450" w:rsidR="00E03990" w:rsidRPr="0037685B" w:rsidRDefault="0070594C" w:rsidP="0070594C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 </w:t>
            </w:r>
            <w:r w:rsidR="0045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03990" w14:paraId="50AD71D4" w14:textId="77777777" w:rsidTr="00B1475D">
        <w:tc>
          <w:tcPr>
            <w:tcW w:w="5637" w:type="dxa"/>
            <w:shd w:val="clear" w:color="auto" w:fill="FDE9D9" w:themeFill="accent6" w:themeFillTint="33"/>
          </w:tcPr>
          <w:p w14:paraId="2AD70163" w14:textId="43C1C313" w:rsidR="00E03990" w:rsidRDefault="00344589" w:rsidP="00B1475D">
            <w:pPr>
              <w:jc w:val="right"/>
              <w:rPr>
                <w:rFonts w:ascii="Times New Roman" w:hAnsi="Times New Roman" w:cs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color w:val="000000"/>
              </w:rPr>
              <w:t>Housing</w:t>
            </w:r>
          </w:p>
          <w:p w14:paraId="155CFE45" w14:textId="77777777" w:rsidR="003F1677" w:rsidRPr="00B1475D" w:rsidRDefault="003F1677" w:rsidP="00B1475D">
            <w:pPr>
              <w:jc w:val="right"/>
              <w:rPr>
                <w:rFonts w:ascii="Times New Roman" w:hAnsi="Times New Roman" w:cs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4217" w:type="dxa"/>
            <w:shd w:val="clear" w:color="auto" w:fill="FDE9D9" w:themeFill="accent6" w:themeFillTint="33"/>
          </w:tcPr>
          <w:p w14:paraId="2B936599" w14:textId="77777777" w:rsidR="00E03990" w:rsidRPr="0037685B" w:rsidRDefault="00E03990" w:rsidP="00B1475D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75D" w14:paraId="659D0A65" w14:textId="77777777" w:rsidTr="003D68FF">
        <w:tc>
          <w:tcPr>
            <w:tcW w:w="5637" w:type="dxa"/>
          </w:tcPr>
          <w:p w14:paraId="4C4F6F4B" w14:textId="67FB52EA" w:rsidR="00B1475D" w:rsidRPr="000B693A" w:rsidRDefault="00B1475D" w:rsidP="00CB7FC5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5.1.1. </w:t>
            </w:r>
            <w:r w:rsidR="00D4292D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share of persons confronted with the following housing problems: </w:t>
            </w:r>
            <w:r w:rsidR="000B693A" w:rsidRPr="000B693A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leaking roofs, damp walls (flooring, foundation), rotten windows or flooring </w:t>
            </w:r>
          </w:p>
        </w:tc>
        <w:tc>
          <w:tcPr>
            <w:tcW w:w="4217" w:type="dxa"/>
          </w:tcPr>
          <w:p w14:paraId="1E6D63DE" w14:textId="64D8F0E2" w:rsidR="00B1475D" w:rsidRPr="0037685B" w:rsidRDefault="00AB765F" w:rsidP="00AB765F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72 </w:t>
            </w:r>
            <w:r w:rsidR="0045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B1475D" w14:paraId="34F0F108" w14:textId="77777777" w:rsidTr="003D68FF">
        <w:tc>
          <w:tcPr>
            <w:tcW w:w="5637" w:type="dxa"/>
          </w:tcPr>
          <w:p w14:paraId="54A4C139" w14:textId="5E81CBFB" w:rsidR="00B1475D" w:rsidRPr="0037685B" w:rsidRDefault="00B1475D" w:rsidP="00D4292D">
            <w:pPr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5.1.2. </w:t>
            </w:r>
            <w:r w:rsidR="00D4292D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share of persons living in inadequately heated homes </w:t>
            </w:r>
          </w:p>
        </w:tc>
        <w:tc>
          <w:tcPr>
            <w:tcW w:w="4217" w:type="dxa"/>
          </w:tcPr>
          <w:p w14:paraId="4F957D33" w14:textId="5780990B" w:rsidR="00B1475D" w:rsidRPr="0037685B" w:rsidRDefault="00AB765F" w:rsidP="00AB765F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48 </w:t>
            </w:r>
            <w:r w:rsidR="0045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B1475D" w14:paraId="57919A98" w14:textId="77777777" w:rsidTr="003D68FF">
        <w:tc>
          <w:tcPr>
            <w:tcW w:w="5637" w:type="dxa"/>
          </w:tcPr>
          <w:p w14:paraId="1A5BA224" w14:textId="77624CAA" w:rsidR="00B1475D" w:rsidRPr="0037685B" w:rsidRDefault="00B1475D" w:rsidP="00D4292D">
            <w:pPr>
              <w:rPr>
                <w:rFonts w:ascii="Times New Roman" w:hAnsi="Times New Roman" w:cs="Times New Roman"/>
                <w:i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5.1.3. </w:t>
            </w:r>
            <w:r w:rsidR="00D4292D">
              <w:rPr>
                <w:rFonts w:ascii="Times New Roman" w:hAnsi="Times New Roman" w:cs="Times New Roman"/>
                <w:i/>
                <w:snapToGrid w:val="0"/>
                <w:color w:val="000000"/>
              </w:rPr>
              <w:t>share of persons who live in households confronted with economic strains (miss deadli</w:t>
            </w:r>
            <w:r w:rsidR="000B693A">
              <w:rPr>
                <w:rFonts w:ascii="Times New Roman" w:hAnsi="Times New Roman" w:cs="Times New Roman"/>
                <w:i/>
                <w:snapToGrid w:val="0"/>
                <w:color w:val="000000"/>
              </w:rPr>
              <w:t>ne</w:t>
            </w:r>
            <w:r w:rsidR="00D4292D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s for payment of rent, utility bills, mortgage or other loan payments) </w:t>
            </w:r>
          </w:p>
        </w:tc>
        <w:tc>
          <w:tcPr>
            <w:tcW w:w="4217" w:type="dxa"/>
          </w:tcPr>
          <w:p w14:paraId="4867F793" w14:textId="615DB13E" w:rsidR="00B1475D" w:rsidRPr="0037685B" w:rsidRDefault="00AB765F" w:rsidP="00AB765F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83 </w:t>
            </w:r>
            <w:r w:rsidR="0045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B1475D" w14:paraId="34A0D45A" w14:textId="77777777" w:rsidTr="003D68FF">
        <w:tc>
          <w:tcPr>
            <w:tcW w:w="5637" w:type="dxa"/>
          </w:tcPr>
          <w:p w14:paraId="07E48B0B" w14:textId="0D33613E" w:rsidR="00B1475D" w:rsidRPr="0037685B" w:rsidRDefault="00B1475D" w:rsidP="00B10DC2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5.1.4. </w:t>
            </w:r>
            <w:r w:rsidR="00B10DC2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share of persons resideing in households without baths/showers </w:t>
            </w:r>
          </w:p>
        </w:tc>
        <w:tc>
          <w:tcPr>
            <w:tcW w:w="4217" w:type="dxa"/>
          </w:tcPr>
          <w:p w14:paraId="65B6E5F5" w14:textId="69A0C41C" w:rsidR="00B1475D" w:rsidRPr="0037685B" w:rsidRDefault="00AB765F" w:rsidP="00AB765F">
            <w:pPr>
              <w:tabs>
                <w:tab w:val="left" w:pos="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45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</w:tbl>
    <w:p w14:paraId="18FF4D33" w14:textId="77777777" w:rsidR="00683400" w:rsidRDefault="00683400"/>
    <w:p w14:paraId="15416277" w14:textId="34988363" w:rsidR="00683400" w:rsidRPr="00763EAE" w:rsidRDefault="00683400" w:rsidP="00763EAE">
      <w:pPr>
        <w:pStyle w:val="Heading1"/>
        <w:jc w:val="center"/>
        <w:rPr>
          <w:color w:val="auto"/>
        </w:rPr>
      </w:pPr>
      <w:r>
        <w:br w:type="page"/>
      </w:r>
      <w:r w:rsidR="001B0B66">
        <w:rPr>
          <w:color w:val="auto"/>
        </w:rPr>
        <w:lastRenderedPageBreak/>
        <w:t>A</w:t>
      </w:r>
      <w:r w:rsidR="00167B54">
        <w:rPr>
          <w:color w:val="auto"/>
        </w:rPr>
        <w:t>N</w:t>
      </w:r>
      <w:r w:rsidR="00256ECB">
        <w:rPr>
          <w:color w:val="auto"/>
        </w:rPr>
        <w:t>N</w:t>
      </w:r>
      <w:r w:rsidR="00167B54">
        <w:rPr>
          <w:color w:val="auto"/>
        </w:rPr>
        <w:t>E</w:t>
      </w:r>
      <w:r w:rsidR="001B0B66">
        <w:rPr>
          <w:color w:val="auto"/>
        </w:rPr>
        <w:t>XES</w:t>
      </w:r>
    </w:p>
    <w:p w14:paraId="086B26E8" w14:textId="38A651F7" w:rsidR="00154398" w:rsidRPr="00154398" w:rsidRDefault="004137AB" w:rsidP="001543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about Households Surveyed </w:t>
      </w:r>
      <w:r w:rsidR="0015439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 comparison with the data from the Income and Living Conditions Survey 2013)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7"/>
        <w:gridCol w:w="1611"/>
        <w:gridCol w:w="1740"/>
      </w:tblGrid>
      <w:tr w:rsidR="00154398" w:rsidRPr="00D65CC9" w14:paraId="180497DE" w14:textId="77777777" w:rsidTr="008453DF">
        <w:tc>
          <w:tcPr>
            <w:tcW w:w="9628" w:type="dxa"/>
            <w:gridSpan w:val="3"/>
            <w:shd w:val="clear" w:color="auto" w:fill="auto"/>
          </w:tcPr>
          <w:p w14:paraId="11C04430" w14:textId="07D8A663" w:rsidR="00154398" w:rsidRPr="00154398" w:rsidRDefault="00154398" w:rsidP="0041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4398">
              <w:rPr>
                <w:rFonts w:ascii="Times New Roman" w:eastAsia="Times New Roman" w:hAnsi="Times New Roman" w:cs="Times New Roman"/>
                <w:b/>
              </w:rPr>
              <w:t>Informa</w:t>
            </w:r>
            <w:r w:rsidR="004137AB">
              <w:rPr>
                <w:rFonts w:ascii="Times New Roman" w:eastAsia="Times New Roman" w:hAnsi="Times New Roman" w:cs="Times New Roman"/>
                <w:b/>
              </w:rPr>
              <w:t>tion about Households</w:t>
            </w:r>
          </w:p>
        </w:tc>
      </w:tr>
      <w:tr w:rsidR="00154398" w:rsidRPr="00D65CC9" w14:paraId="37119422" w14:textId="77777777" w:rsidTr="008453DF">
        <w:tc>
          <w:tcPr>
            <w:tcW w:w="9628" w:type="dxa"/>
            <w:gridSpan w:val="3"/>
            <w:shd w:val="clear" w:color="auto" w:fill="auto"/>
          </w:tcPr>
          <w:p w14:paraId="0342DC7F" w14:textId="7E6DAF1E" w:rsidR="00154398" w:rsidRPr="00154398" w:rsidRDefault="004137AB" w:rsidP="0041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Housing Conditions</w:t>
            </w:r>
          </w:p>
        </w:tc>
      </w:tr>
      <w:tr w:rsidR="00154398" w:rsidRPr="00D65CC9" w14:paraId="2D64915F" w14:textId="77777777" w:rsidTr="008453DF">
        <w:tc>
          <w:tcPr>
            <w:tcW w:w="6277" w:type="dxa"/>
            <w:shd w:val="clear" w:color="auto" w:fill="auto"/>
          </w:tcPr>
          <w:p w14:paraId="386CA556" w14:textId="48ED37B9" w:rsidR="00154398" w:rsidRPr="00154398" w:rsidRDefault="004137AB" w:rsidP="0041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Housing size</w:t>
            </w:r>
          </w:p>
        </w:tc>
        <w:tc>
          <w:tcPr>
            <w:tcW w:w="1611" w:type="dxa"/>
            <w:shd w:val="clear" w:color="auto" w:fill="auto"/>
          </w:tcPr>
          <w:p w14:paraId="3B0F9B93" w14:textId="52F37C7C" w:rsidR="00154398" w:rsidRPr="00154398" w:rsidRDefault="004137A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60D02D3E" w14:textId="06083AC3" w:rsidR="00154398" w:rsidRPr="00154398" w:rsidRDefault="004137A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19AFB226" w14:textId="77777777" w:rsidTr="008453DF">
        <w:tc>
          <w:tcPr>
            <w:tcW w:w="6277" w:type="dxa"/>
            <w:shd w:val="clear" w:color="auto" w:fill="auto"/>
          </w:tcPr>
          <w:p w14:paraId="0629A7EE" w14:textId="3AD8BC9B" w:rsidR="00154398" w:rsidRPr="00154398" w:rsidRDefault="00D06ECC" w:rsidP="004137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4137AB">
              <w:rPr>
                <w:rFonts w:ascii="Times New Roman" w:eastAsia="Times New Roman" w:hAnsi="Times New Roman" w:cs="Times New Roman"/>
              </w:rPr>
              <w:t xml:space="preserve">verage number of household memebers </w:t>
            </w:r>
          </w:p>
        </w:tc>
        <w:tc>
          <w:tcPr>
            <w:tcW w:w="1611" w:type="dxa"/>
            <w:shd w:val="clear" w:color="auto" w:fill="auto"/>
          </w:tcPr>
          <w:p w14:paraId="071C14B4" w14:textId="624079F1" w:rsidR="00154398" w:rsidRPr="00154398" w:rsidRDefault="00EC22B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14:paraId="5B52FC8E" w14:textId="2D696FFD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4398" w:rsidRPr="00D65CC9" w14:paraId="053CBFF0" w14:textId="77777777" w:rsidTr="008453DF">
        <w:tc>
          <w:tcPr>
            <w:tcW w:w="6277" w:type="dxa"/>
            <w:shd w:val="clear" w:color="auto" w:fill="auto"/>
          </w:tcPr>
          <w:p w14:paraId="04521820" w14:textId="1DDB09E5" w:rsidR="00154398" w:rsidRPr="00154398" w:rsidRDefault="004137AB" w:rsidP="0041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Housing type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5C743F91" w14:textId="4A43DCD6" w:rsidR="00154398" w:rsidRPr="00154398" w:rsidRDefault="00154398" w:rsidP="0041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4398">
              <w:rPr>
                <w:rFonts w:ascii="Times New Roman" w:eastAsia="Times New Roman" w:hAnsi="Times New Roman" w:cs="Times New Roman"/>
                <w:b/>
              </w:rPr>
              <w:t>R</w:t>
            </w:r>
            <w:r w:rsidR="004137AB">
              <w:rPr>
                <w:rFonts w:ascii="Times New Roman" w:eastAsia="Times New Roman" w:hAnsi="Times New Roman" w:cs="Times New Roman"/>
                <w:b/>
              </w:rPr>
              <w:t>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72B78380" w14:textId="312FCAA1" w:rsidR="00154398" w:rsidRPr="00154398" w:rsidRDefault="004137A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5334FBA5" w14:textId="77777777" w:rsidTr="008453DF">
        <w:tc>
          <w:tcPr>
            <w:tcW w:w="6277" w:type="dxa"/>
            <w:shd w:val="clear" w:color="auto" w:fill="auto"/>
          </w:tcPr>
          <w:p w14:paraId="069C062D" w14:textId="654AB97B" w:rsidR="00154398" w:rsidRPr="00154398" w:rsidRDefault="004137AB" w:rsidP="004137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Single appartment house</w:t>
            </w:r>
          </w:p>
        </w:tc>
        <w:tc>
          <w:tcPr>
            <w:tcW w:w="1611" w:type="dxa"/>
            <w:shd w:val="clear" w:color="auto" w:fill="auto"/>
          </w:tcPr>
          <w:p w14:paraId="2AA5915D" w14:textId="49C4F8FC" w:rsidR="00154398" w:rsidRPr="00154398" w:rsidRDefault="00EC22B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14:paraId="2CC66C49" w14:textId="5572B37B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4398" w:rsidRPr="00D65CC9" w14:paraId="49D5360A" w14:textId="77777777" w:rsidTr="008453DF">
        <w:tc>
          <w:tcPr>
            <w:tcW w:w="6277" w:type="dxa"/>
            <w:shd w:val="clear" w:color="auto" w:fill="auto"/>
          </w:tcPr>
          <w:p w14:paraId="32A6BB97" w14:textId="1FAB2369" w:rsidR="00154398" w:rsidRPr="00154398" w:rsidRDefault="00B95739" w:rsidP="00B95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Appartment in a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2-appartment house</w:t>
            </w:r>
          </w:p>
        </w:tc>
        <w:tc>
          <w:tcPr>
            <w:tcW w:w="1611" w:type="dxa"/>
            <w:shd w:val="clear" w:color="auto" w:fill="auto"/>
          </w:tcPr>
          <w:p w14:paraId="417750BE" w14:textId="6020B666" w:rsidR="00154398" w:rsidRPr="00154398" w:rsidRDefault="00EC22B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14:paraId="19616E67" w14:textId="6E8E6064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4398" w:rsidRPr="00D65CC9" w14:paraId="3DD90732" w14:textId="77777777" w:rsidTr="008453DF">
        <w:tc>
          <w:tcPr>
            <w:tcW w:w="6277" w:type="dxa"/>
            <w:shd w:val="clear" w:color="auto" w:fill="auto"/>
          </w:tcPr>
          <w:p w14:paraId="1387088F" w14:textId="012B27CC" w:rsidR="00154398" w:rsidRPr="00154398" w:rsidRDefault="00B95739" w:rsidP="00B95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Appartment in a house of less than 10 appartments</w:t>
            </w:r>
          </w:p>
        </w:tc>
        <w:tc>
          <w:tcPr>
            <w:tcW w:w="1611" w:type="dxa"/>
            <w:shd w:val="clear" w:color="auto" w:fill="auto"/>
          </w:tcPr>
          <w:p w14:paraId="3E601125" w14:textId="10574B21" w:rsidR="00154398" w:rsidRPr="00154398" w:rsidRDefault="00EC22B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14:paraId="067E7EF4" w14:textId="2215F081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11D6D3E1" w14:textId="77777777" w:rsidTr="008453DF">
        <w:tc>
          <w:tcPr>
            <w:tcW w:w="6277" w:type="dxa"/>
            <w:shd w:val="clear" w:color="auto" w:fill="auto"/>
          </w:tcPr>
          <w:p w14:paraId="49F5D79D" w14:textId="339B8000" w:rsidR="00154398" w:rsidRPr="00154398" w:rsidRDefault="00B95739" w:rsidP="00B95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Appartement in a house of 10 or more appartments</w:t>
            </w:r>
          </w:p>
        </w:tc>
        <w:tc>
          <w:tcPr>
            <w:tcW w:w="1611" w:type="dxa"/>
            <w:shd w:val="clear" w:color="auto" w:fill="auto"/>
          </w:tcPr>
          <w:p w14:paraId="775D82B1" w14:textId="49256F77" w:rsidR="00154398" w:rsidRPr="00154398" w:rsidRDefault="00EC22B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14:paraId="596BA647" w14:textId="3DF140C9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54398" w:rsidRPr="00D65CC9" w14:paraId="6AFE266A" w14:textId="77777777" w:rsidTr="008453DF">
        <w:tc>
          <w:tcPr>
            <w:tcW w:w="6277" w:type="dxa"/>
            <w:shd w:val="clear" w:color="auto" w:fill="auto"/>
          </w:tcPr>
          <w:p w14:paraId="798B094B" w14:textId="5619DEA4" w:rsidR="00154398" w:rsidRPr="00154398" w:rsidRDefault="00B95739" w:rsidP="00B95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type of accomodation</w:t>
            </w:r>
          </w:p>
        </w:tc>
        <w:tc>
          <w:tcPr>
            <w:tcW w:w="1611" w:type="dxa"/>
            <w:shd w:val="clear" w:color="auto" w:fill="auto"/>
          </w:tcPr>
          <w:p w14:paraId="65F0890A" w14:textId="65EDB98E" w:rsidR="00154398" w:rsidRPr="00154398" w:rsidRDefault="00EC22B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14:paraId="57C63C24" w14:textId="57201A4B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4398" w:rsidRPr="00D65CC9" w14:paraId="79DAEFDD" w14:textId="77777777" w:rsidTr="008453DF">
        <w:tc>
          <w:tcPr>
            <w:tcW w:w="6277" w:type="dxa"/>
            <w:shd w:val="clear" w:color="auto" w:fill="auto"/>
          </w:tcPr>
          <w:p w14:paraId="33149B95" w14:textId="77777777" w:rsidR="00154398" w:rsidRPr="00154398" w:rsidRDefault="00154398" w:rsidP="008453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38A16C56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23C5E47A" w14:textId="059D9C92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4874CB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1687EE1C" w14:textId="77777777" w:rsidTr="008453DF">
        <w:tc>
          <w:tcPr>
            <w:tcW w:w="6277" w:type="dxa"/>
            <w:shd w:val="clear" w:color="auto" w:fill="auto"/>
          </w:tcPr>
          <w:p w14:paraId="5F30DF6E" w14:textId="626E0E38" w:rsidR="00154398" w:rsidRPr="00154398" w:rsidRDefault="00B95739" w:rsidP="00B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Ow</w:t>
            </w:r>
            <w:r w:rsidR="00A645F0">
              <w:rPr>
                <w:rFonts w:ascii="Times New Roman" w:eastAsia="Times New Roman" w:hAnsi="Times New Roman" w:cs="Times New Roman"/>
                <w:b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</w:rPr>
              <w:t>rship type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70F85966" w14:textId="3C2CA397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028A811D" w14:textId="030BE9BE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1F13F0AD" w14:textId="77777777" w:rsidTr="008453DF">
        <w:tc>
          <w:tcPr>
            <w:tcW w:w="6277" w:type="dxa"/>
            <w:shd w:val="clear" w:color="auto" w:fill="auto"/>
          </w:tcPr>
          <w:p w14:paraId="77C660F7" w14:textId="02D67DF4" w:rsidR="00154398" w:rsidRPr="00154398" w:rsidRDefault="00E51F64" w:rsidP="00E51F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Ow</w:t>
            </w:r>
            <w:r w:rsidR="00A069CE"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</w:rPr>
              <w:t>r of the housing, free of mortgage</w:t>
            </w:r>
          </w:p>
        </w:tc>
        <w:tc>
          <w:tcPr>
            <w:tcW w:w="1611" w:type="dxa"/>
            <w:shd w:val="clear" w:color="auto" w:fill="auto"/>
          </w:tcPr>
          <w:p w14:paraId="1082EECD" w14:textId="63B7EC51" w:rsidR="00154398" w:rsidRPr="00154398" w:rsidRDefault="00AE3EF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0A0FE6BF" w14:textId="41A7F8B8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4398" w:rsidRPr="00D65CC9" w14:paraId="37B950FC" w14:textId="77777777" w:rsidTr="008453DF">
        <w:tc>
          <w:tcPr>
            <w:tcW w:w="6277" w:type="dxa"/>
            <w:shd w:val="clear" w:color="auto" w:fill="auto"/>
          </w:tcPr>
          <w:p w14:paraId="5B04D4AB" w14:textId="696BE32F" w:rsidR="00154398" w:rsidRPr="00154398" w:rsidRDefault="00E51F64" w:rsidP="00A06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Ow</w:t>
            </w:r>
            <w:r w:rsidR="00A069CE"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</w:rPr>
              <w:t xml:space="preserve">r with an </w:t>
            </w:r>
            <w:r w:rsidR="00A069CE">
              <w:rPr>
                <w:rFonts w:ascii="Times New Roman" w:eastAsia="Times New Roman" w:hAnsi="Times New Roman" w:cs="Times New Roman"/>
              </w:rPr>
              <w:t>outstanding</w:t>
            </w:r>
            <w:r>
              <w:rPr>
                <w:rFonts w:ascii="Times New Roman" w:eastAsia="Times New Roman" w:hAnsi="Times New Roman" w:cs="Times New Roman"/>
              </w:rPr>
              <w:t xml:space="preserve"> mortgage  </w:t>
            </w:r>
          </w:p>
        </w:tc>
        <w:tc>
          <w:tcPr>
            <w:tcW w:w="1611" w:type="dxa"/>
            <w:shd w:val="clear" w:color="auto" w:fill="auto"/>
          </w:tcPr>
          <w:p w14:paraId="635F8A52" w14:textId="553A0AE3" w:rsidR="00154398" w:rsidRPr="00154398" w:rsidRDefault="00AE3EF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40" w:type="dxa"/>
            <w:shd w:val="clear" w:color="auto" w:fill="auto"/>
          </w:tcPr>
          <w:p w14:paraId="634A62B3" w14:textId="1133CF9A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4398" w:rsidRPr="00D65CC9" w14:paraId="43AC0EC1" w14:textId="77777777" w:rsidTr="008453DF">
        <w:tc>
          <w:tcPr>
            <w:tcW w:w="6277" w:type="dxa"/>
            <w:shd w:val="clear" w:color="auto" w:fill="auto"/>
          </w:tcPr>
          <w:p w14:paraId="5B6492DC" w14:textId="5DEFBD72" w:rsidR="00154398" w:rsidRPr="00154398" w:rsidRDefault="00E51F64" w:rsidP="00E51F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Lessee or sublessee paying a rent at the market price</w:t>
            </w:r>
          </w:p>
        </w:tc>
        <w:tc>
          <w:tcPr>
            <w:tcW w:w="1611" w:type="dxa"/>
            <w:shd w:val="clear" w:color="auto" w:fill="auto"/>
          </w:tcPr>
          <w:p w14:paraId="3C62EE6B" w14:textId="2A3ABFAE" w:rsidR="00154398" w:rsidRPr="00154398" w:rsidRDefault="00AE3EF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3A61594F" w14:textId="7918738D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54398" w:rsidRPr="00D65CC9" w14:paraId="2B86D4C0" w14:textId="77777777" w:rsidTr="008453DF">
        <w:tc>
          <w:tcPr>
            <w:tcW w:w="6277" w:type="dxa"/>
            <w:shd w:val="clear" w:color="auto" w:fill="auto"/>
          </w:tcPr>
          <w:p w14:paraId="3ABEE0E6" w14:textId="0D79ACD0" w:rsidR="00154398" w:rsidRPr="00154398" w:rsidRDefault="00E51F64" w:rsidP="00E51F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Lessee paying a rent below the market price </w:t>
            </w:r>
          </w:p>
        </w:tc>
        <w:tc>
          <w:tcPr>
            <w:tcW w:w="1611" w:type="dxa"/>
            <w:shd w:val="clear" w:color="auto" w:fill="auto"/>
          </w:tcPr>
          <w:p w14:paraId="47C6A8C7" w14:textId="47D450C6" w:rsidR="00154398" w:rsidRPr="00154398" w:rsidRDefault="00AE3EF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2B45B03D" w14:textId="72C7EEB1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54398" w:rsidRPr="00D65CC9" w14:paraId="79831958" w14:textId="77777777" w:rsidTr="008453DF">
        <w:trPr>
          <w:trHeight w:val="224"/>
        </w:trPr>
        <w:tc>
          <w:tcPr>
            <w:tcW w:w="6277" w:type="dxa"/>
            <w:shd w:val="clear" w:color="auto" w:fill="auto"/>
          </w:tcPr>
          <w:p w14:paraId="6E9C9341" w14:textId="05826122" w:rsidR="00154398" w:rsidRPr="00154398" w:rsidRDefault="00FC6A91" w:rsidP="00FC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Lives in the accomodation and doesn’t pat any rent </w:t>
            </w:r>
          </w:p>
        </w:tc>
        <w:tc>
          <w:tcPr>
            <w:tcW w:w="1611" w:type="dxa"/>
            <w:shd w:val="clear" w:color="auto" w:fill="auto"/>
          </w:tcPr>
          <w:p w14:paraId="07CA05B9" w14:textId="1E00B989" w:rsidR="00154398" w:rsidRPr="00154398" w:rsidRDefault="00AE3EF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14:paraId="6C4A4D44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4398" w:rsidRPr="00D65CC9" w14:paraId="474AFADA" w14:textId="77777777" w:rsidTr="008453DF">
        <w:tc>
          <w:tcPr>
            <w:tcW w:w="6277" w:type="dxa"/>
            <w:shd w:val="clear" w:color="auto" w:fill="auto"/>
          </w:tcPr>
          <w:p w14:paraId="357037AF" w14:textId="77777777" w:rsidR="00154398" w:rsidRPr="00154398" w:rsidRDefault="00154398" w:rsidP="008453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2D151203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1C60C3F9" w14:textId="7B1D0005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4874CB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378D9803" w14:textId="77777777" w:rsidTr="008453DF">
        <w:tc>
          <w:tcPr>
            <w:tcW w:w="6277" w:type="dxa"/>
            <w:shd w:val="clear" w:color="auto" w:fill="auto"/>
          </w:tcPr>
          <w:p w14:paraId="22865D68" w14:textId="06031E3F" w:rsidR="00154398" w:rsidRPr="00154398" w:rsidRDefault="00FC6A91" w:rsidP="00FC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Years lived in the housing </w:t>
            </w:r>
          </w:p>
        </w:tc>
        <w:tc>
          <w:tcPr>
            <w:tcW w:w="1611" w:type="dxa"/>
            <w:shd w:val="clear" w:color="auto" w:fill="auto"/>
          </w:tcPr>
          <w:p w14:paraId="17BA1AF4" w14:textId="084DF096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59A8B0A5" w14:textId="1CAE2529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058582C3" w14:textId="77777777" w:rsidTr="008453DF">
        <w:tc>
          <w:tcPr>
            <w:tcW w:w="6277" w:type="dxa"/>
            <w:shd w:val="clear" w:color="auto" w:fill="auto"/>
          </w:tcPr>
          <w:p w14:paraId="4E0D7E69" w14:textId="02FFFD14" w:rsidR="00154398" w:rsidRPr="00154398" w:rsidRDefault="00344589" w:rsidP="008453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Average</w:t>
            </w:r>
          </w:p>
        </w:tc>
        <w:tc>
          <w:tcPr>
            <w:tcW w:w="1611" w:type="dxa"/>
            <w:shd w:val="clear" w:color="auto" w:fill="auto"/>
          </w:tcPr>
          <w:p w14:paraId="76B75B62" w14:textId="036CEE6D" w:rsidR="00154398" w:rsidRPr="00154398" w:rsidRDefault="00AE3EF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14:paraId="7339A540" w14:textId="0E343BD7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54398" w:rsidRPr="00D65CC9" w14:paraId="1051814E" w14:textId="77777777" w:rsidTr="008453DF">
        <w:tc>
          <w:tcPr>
            <w:tcW w:w="6277" w:type="dxa"/>
            <w:shd w:val="clear" w:color="auto" w:fill="auto"/>
          </w:tcPr>
          <w:p w14:paraId="6DF625B7" w14:textId="5D523940" w:rsidR="00154398" w:rsidRPr="00154398" w:rsidRDefault="00344589" w:rsidP="008453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Median</w:t>
            </w:r>
          </w:p>
        </w:tc>
        <w:tc>
          <w:tcPr>
            <w:tcW w:w="1611" w:type="dxa"/>
            <w:shd w:val="clear" w:color="auto" w:fill="auto"/>
          </w:tcPr>
          <w:p w14:paraId="1711C423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14:paraId="1F9E2080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154398" w:rsidRPr="00D65CC9" w14:paraId="2EC36F7B" w14:textId="77777777" w:rsidTr="008453DF">
        <w:tc>
          <w:tcPr>
            <w:tcW w:w="6277" w:type="dxa"/>
            <w:shd w:val="clear" w:color="auto" w:fill="auto"/>
          </w:tcPr>
          <w:p w14:paraId="21DA46A9" w14:textId="77777777" w:rsidR="00154398" w:rsidRPr="00154398" w:rsidRDefault="00154398" w:rsidP="008453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4DD57325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108</w:t>
            </w:r>
          </w:p>
        </w:tc>
        <w:tc>
          <w:tcPr>
            <w:tcW w:w="1740" w:type="dxa"/>
            <w:shd w:val="clear" w:color="auto" w:fill="auto"/>
          </w:tcPr>
          <w:p w14:paraId="10AF43A9" w14:textId="04E85F4E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4874CB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119E5E79" w14:textId="77777777" w:rsidTr="008453DF">
        <w:trPr>
          <w:trHeight w:val="179"/>
        </w:trPr>
        <w:tc>
          <w:tcPr>
            <w:tcW w:w="6277" w:type="dxa"/>
            <w:shd w:val="clear" w:color="auto" w:fill="auto"/>
          </w:tcPr>
          <w:p w14:paraId="1A98874B" w14:textId="086BAE01" w:rsidR="00154398" w:rsidRPr="00154398" w:rsidRDefault="00FC6A91" w:rsidP="00FC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Housing area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FC6A9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14:paraId="688B1844" w14:textId="6DA817D6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3B2EE89B" w14:textId="05369B3C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Census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2011</w:t>
            </w:r>
          </w:p>
        </w:tc>
      </w:tr>
      <w:tr w:rsidR="00154398" w:rsidRPr="00D65CC9" w14:paraId="2EEAE83D" w14:textId="77777777" w:rsidTr="008453DF">
        <w:tc>
          <w:tcPr>
            <w:tcW w:w="6277" w:type="dxa"/>
            <w:shd w:val="clear" w:color="auto" w:fill="auto"/>
          </w:tcPr>
          <w:p w14:paraId="039B0B79" w14:textId="401DFA9F" w:rsidR="00154398" w:rsidRPr="00154398" w:rsidRDefault="001D060E" w:rsidP="001D0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Average area of housing </w:t>
            </w:r>
          </w:p>
        </w:tc>
        <w:tc>
          <w:tcPr>
            <w:tcW w:w="1611" w:type="dxa"/>
            <w:shd w:val="clear" w:color="auto" w:fill="auto"/>
          </w:tcPr>
          <w:p w14:paraId="6E13C751" w14:textId="549E8069" w:rsidR="00154398" w:rsidRPr="00154398" w:rsidRDefault="00AE3EF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07D26EA2" w14:textId="5CA2BBF9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4398" w:rsidRPr="00D65CC9" w14:paraId="3D79736D" w14:textId="77777777" w:rsidTr="008453DF">
        <w:tc>
          <w:tcPr>
            <w:tcW w:w="6277" w:type="dxa"/>
            <w:shd w:val="clear" w:color="auto" w:fill="auto"/>
          </w:tcPr>
          <w:p w14:paraId="04DC2629" w14:textId="528EB37C" w:rsidR="00154398" w:rsidRPr="00154398" w:rsidRDefault="001D060E" w:rsidP="001D0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Housing area per household member </w:t>
            </w:r>
          </w:p>
        </w:tc>
        <w:tc>
          <w:tcPr>
            <w:tcW w:w="1611" w:type="dxa"/>
            <w:shd w:val="clear" w:color="auto" w:fill="auto"/>
          </w:tcPr>
          <w:p w14:paraId="0CB096A4" w14:textId="6F99AB51" w:rsidR="00154398" w:rsidRPr="00154398" w:rsidRDefault="00AE3EF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6D8FB757" w14:textId="552D3597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4398" w:rsidRPr="00D65CC9" w14:paraId="1FE7E709" w14:textId="77777777" w:rsidTr="008453DF">
        <w:tc>
          <w:tcPr>
            <w:tcW w:w="6277" w:type="dxa"/>
            <w:shd w:val="clear" w:color="auto" w:fill="auto"/>
          </w:tcPr>
          <w:p w14:paraId="774DE8F2" w14:textId="77777777" w:rsidR="00154398" w:rsidRPr="00154398" w:rsidRDefault="00154398" w:rsidP="008453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02EE8FA4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740" w:type="dxa"/>
            <w:shd w:val="clear" w:color="auto" w:fill="auto"/>
          </w:tcPr>
          <w:p w14:paraId="150946A5" w14:textId="05A13A88" w:rsidR="00154398" w:rsidRPr="00154398" w:rsidRDefault="008453D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52027">
              <w:rPr>
                <w:rFonts w:ascii="Times New Roman" w:hAnsi="Times New Roman" w:cs="Times New Roman"/>
              </w:rPr>
              <w:t>3</w:t>
            </w:r>
            <w:r w:rsidR="004874CB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043</w:t>
            </w:r>
            <w:r w:rsidR="004874CB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429</w:t>
            </w:r>
          </w:p>
        </w:tc>
      </w:tr>
      <w:tr w:rsidR="00154398" w:rsidRPr="00D65CC9" w14:paraId="18AD1280" w14:textId="77777777" w:rsidTr="008453DF">
        <w:tc>
          <w:tcPr>
            <w:tcW w:w="6277" w:type="dxa"/>
            <w:shd w:val="clear" w:color="auto" w:fill="auto"/>
          </w:tcPr>
          <w:p w14:paraId="1E970C81" w14:textId="2A387D93" w:rsidR="00154398" w:rsidRPr="00154398" w:rsidRDefault="001D060E" w:rsidP="001D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Number of rooms </w:t>
            </w:r>
          </w:p>
        </w:tc>
        <w:tc>
          <w:tcPr>
            <w:tcW w:w="1611" w:type="dxa"/>
            <w:shd w:val="clear" w:color="auto" w:fill="auto"/>
          </w:tcPr>
          <w:p w14:paraId="23C7683D" w14:textId="383CA737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33F6A88E" w14:textId="17EB0957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213C8CC7" w14:textId="77777777" w:rsidTr="008453DF">
        <w:tc>
          <w:tcPr>
            <w:tcW w:w="6277" w:type="dxa"/>
            <w:shd w:val="clear" w:color="auto" w:fill="auto"/>
          </w:tcPr>
          <w:p w14:paraId="42AB73D8" w14:textId="40D6A930" w:rsidR="00154398" w:rsidRPr="00154398" w:rsidRDefault="001D060E" w:rsidP="001D0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Average number of rooms occupied</w:t>
            </w:r>
          </w:p>
        </w:tc>
        <w:tc>
          <w:tcPr>
            <w:tcW w:w="1611" w:type="dxa"/>
            <w:shd w:val="clear" w:color="auto" w:fill="auto"/>
          </w:tcPr>
          <w:p w14:paraId="4687F9EA" w14:textId="273DBAE0" w:rsidR="00154398" w:rsidRPr="00154398" w:rsidRDefault="00AE3EF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14:paraId="698B54AE" w14:textId="18430166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4398" w:rsidRPr="00D65CC9" w14:paraId="08C01BD8" w14:textId="77777777" w:rsidTr="008453DF">
        <w:tc>
          <w:tcPr>
            <w:tcW w:w="6277" w:type="dxa"/>
            <w:shd w:val="clear" w:color="auto" w:fill="auto"/>
          </w:tcPr>
          <w:p w14:paraId="2AF1618C" w14:textId="5C54015B" w:rsidR="00154398" w:rsidRPr="00154398" w:rsidRDefault="001D060E" w:rsidP="00FF3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Average number of rooms per household member </w:t>
            </w:r>
          </w:p>
        </w:tc>
        <w:tc>
          <w:tcPr>
            <w:tcW w:w="1611" w:type="dxa"/>
            <w:shd w:val="clear" w:color="auto" w:fill="auto"/>
          </w:tcPr>
          <w:p w14:paraId="0937F4A1" w14:textId="05C8423A" w:rsidR="00154398" w:rsidRPr="00154398" w:rsidRDefault="00AE3EF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42B083E1" w14:textId="5F06C856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4398" w:rsidRPr="00D65CC9" w14:paraId="6B39F6CC" w14:textId="77777777" w:rsidTr="008453DF">
        <w:tc>
          <w:tcPr>
            <w:tcW w:w="6277" w:type="dxa"/>
            <w:shd w:val="clear" w:color="auto" w:fill="auto"/>
          </w:tcPr>
          <w:p w14:paraId="4CF8DD6C" w14:textId="77777777" w:rsidR="00154398" w:rsidRPr="00154398" w:rsidRDefault="00154398" w:rsidP="008453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02535BAB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52F06405" w14:textId="22406CE0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4874CB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4DAF2829" w14:textId="77777777" w:rsidTr="008453DF">
        <w:tc>
          <w:tcPr>
            <w:tcW w:w="6277" w:type="dxa"/>
            <w:shd w:val="clear" w:color="auto" w:fill="auto"/>
          </w:tcPr>
          <w:p w14:paraId="29BDDEEE" w14:textId="2418FC08" w:rsidR="00154398" w:rsidRPr="00154398" w:rsidRDefault="00FF3BDD" w:rsidP="00FF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Access to a separate kitchen of at least 4 m</w:t>
            </w:r>
            <w:r w:rsidRPr="00FF3BDD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741E1CCF" w14:textId="49D78F1A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424434EC" w14:textId="3D480175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</w:tr>
      <w:tr w:rsidR="00154398" w:rsidRPr="00D65CC9" w14:paraId="5DCF4CB3" w14:textId="77777777" w:rsidTr="008453DF">
        <w:tc>
          <w:tcPr>
            <w:tcW w:w="6277" w:type="dxa"/>
            <w:shd w:val="clear" w:color="auto" w:fill="auto"/>
          </w:tcPr>
          <w:p w14:paraId="53A49259" w14:textId="4BBFE837" w:rsidR="00154398" w:rsidRPr="00154398" w:rsidRDefault="00FF3BDD" w:rsidP="00F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the kitchen is used by our household only </w:t>
            </w:r>
          </w:p>
        </w:tc>
        <w:tc>
          <w:tcPr>
            <w:tcW w:w="1611" w:type="dxa"/>
            <w:shd w:val="clear" w:color="auto" w:fill="auto"/>
          </w:tcPr>
          <w:p w14:paraId="6B8F37EC" w14:textId="3F58F6AC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40" w:type="dxa"/>
            <w:shd w:val="clear" w:color="auto" w:fill="auto"/>
          </w:tcPr>
          <w:p w14:paraId="70613F89" w14:textId="662AB9CE" w:rsidR="00154398" w:rsidRPr="008453DF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154398" w:rsidRPr="00D65CC9" w14:paraId="6BD301DA" w14:textId="77777777" w:rsidTr="008453DF">
        <w:tc>
          <w:tcPr>
            <w:tcW w:w="6277" w:type="dxa"/>
            <w:shd w:val="clear" w:color="auto" w:fill="auto"/>
          </w:tcPr>
          <w:p w14:paraId="74BE5873" w14:textId="5DA5635F" w:rsidR="00154398" w:rsidRPr="00154398" w:rsidRDefault="00FF3BDD" w:rsidP="00F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Yes, the kitchen is share with another household </w:t>
            </w:r>
          </w:p>
        </w:tc>
        <w:tc>
          <w:tcPr>
            <w:tcW w:w="1611" w:type="dxa"/>
            <w:shd w:val="clear" w:color="auto" w:fill="auto"/>
          </w:tcPr>
          <w:p w14:paraId="4554236C" w14:textId="25112D97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47DFB296" w14:textId="19B8A6E0" w:rsidR="00154398" w:rsidRPr="008453DF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154398" w:rsidRPr="00D65CC9" w14:paraId="1ED81954" w14:textId="77777777" w:rsidTr="008453DF">
        <w:tc>
          <w:tcPr>
            <w:tcW w:w="6277" w:type="dxa"/>
            <w:shd w:val="clear" w:color="auto" w:fill="auto"/>
          </w:tcPr>
          <w:p w14:paraId="18FAEE7A" w14:textId="54CD7765" w:rsidR="00154398" w:rsidRPr="00154398" w:rsidRDefault="00FF3BD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6D9B6F8C" w14:textId="13279004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7F1334A8" w14:textId="3B795A61" w:rsidR="00154398" w:rsidRPr="008453DF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154398" w:rsidRPr="00D65CC9" w14:paraId="7250B0BC" w14:textId="77777777" w:rsidTr="008453DF">
        <w:tc>
          <w:tcPr>
            <w:tcW w:w="6277" w:type="dxa"/>
            <w:shd w:val="clear" w:color="auto" w:fill="auto"/>
          </w:tcPr>
          <w:p w14:paraId="63506E93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1FAEED0C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740" w:type="dxa"/>
            <w:shd w:val="clear" w:color="auto" w:fill="auto"/>
          </w:tcPr>
          <w:p w14:paraId="14C8B190" w14:textId="74A22F9B" w:rsidR="00154398" w:rsidRPr="008453DF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154398" w:rsidRPr="00D65CC9" w14:paraId="64DB4423" w14:textId="77777777" w:rsidTr="008453DF">
        <w:tc>
          <w:tcPr>
            <w:tcW w:w="6277" w:type="dxa"/>
            <w:shd w:val="clear" w:color="auto" w:fill="auto"/>
          </w:tcPr>
          <w:p w14:paraId="1C990AD2" w14:textId="00E85924" w:rsidR="00154398" w:rsidRPr="00154398" w:rsidRDefault="00FF3BDD" w:rsidP="00F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kitchen is used also as a dining room or for other purposes that are not directly related to cooking of meals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3640CAC5" w14:textId="1A310B2B" w:rsidR="00154398" w:rsidRPr="00154398" w:rsidRDefault="00AE3EF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6EAFAF0C" w14:textId="7D629FB9" w:rsidR="00154398" w:rsidRPr="008453DF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8453DF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7E38AA7B" w14:textId="77777777" w:rsidTr="008453DF">
        <w:tc>
          <w:tcPr>
            <w:tcW w:w="6277" w:type="dxa"/>
            <w:shd w:val="clear" w:color="auto" w:fill="auto"/>
          </w:tcPr>
          <w:p w14:paraId="4AD1D864" w14:textId="7BBB4711" w:rsidR="00154398" w:rsidRPr="00154398" w:rsidRDefault="00FF3BD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1611" w:type="dxa"/>
            <w:shd w:val="clear" w:color="auto" w:fill="auto"/>
          </w:tcPr>
          <w:p w14:paraId="6F6760D2" w14:textId="42BC2969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6BFA5917" w14:textId="393FE8B7" w:rsidR="00154398" w:rsidRPr="008453DF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154398" w:rsidRPr="00D65CC9" w14:paraId="0C26125F" w14:textId="77777777" w:rsidTr="008453DF">
        <w:tc>
          <w:tcPr>
            <w:tcW w:w="6277" w:type="dxa"/>
            <w:shd w:val="clear" w:color="auto" w:fill="auto"/>
          </w:tcPr>
          <w:p w14:paraId="5EF13CDF" w14:textId="207ABBF0" w:rsidR="00154398" w:rsidRPr="00154398" w:rsidRDefault="00FF3BD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67B93184" w14:textId="18DF30CB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14:paraId="46AD947B" w14:textId="2D8246BA" w:rsidR="00154398" w:rsidRPr="008453DF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154398" w:rsidRPr="00D65CC9" w14:paraId="433010E1" w14:textId="77777777" w:rsidTr="008453DF">
        <w:tc>
          <w:tcPr>
            <w:tcW w:w="6277" w:type="dxa"/>
            <w:shd w:val="clear" w:color="auto" w:fill="auto"/>
          </w:tcPr>
          <w:p w14:paraId="2B9B7844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0661938F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740" w:type="dxa"/>
            <w:shd w:val="clear" w:color="auto" w:fill="auto"/>
          </w:tcPr>
          <w:p w14:paraId="68669A08" w14:textId="27BF1408" w:rsidR="00154398" w:rsidRPr="008453DF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154398" w:rsidRPr="00D65CC9" w14:paraId="2D6DB8EE" w14:textId="77777777" w:rsidTr="008453DF">
        <w:tc>
          <w:tcPr>
            <w:tcW w:w="6277" w:type="dxa"/>
            <w:shd w:val="clear" w:color="auto" w:fill="auto"/>
          </w:tcPr>
          <w:p w14:paraId="260457C3" w14:textId="770B491D" w:rsidR="00154398" w:rsidRPr="00154398" w:rsidRDefault="00FF3BDD" w:rsidP="00F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Bath or shower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0FA7AD62" w14:textId="06DF69F2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2EB33E67" w14:textId="66A5A019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67635D9E" w14:textId="77777777" w:rsidTr="008453DF">
        <w:tc>
          <w:tcPr>
            <w:tcW w:w="6277" w:type="dxa"/>
            <w:shd w:val="clear" w:color="auto" w:fill="auto"/>
          </w:tcPr>
          <w:p w14:paraId="655C4F30" w14:textId="603B5C8A" w:rsidR="00154398" w:rsidRPr="00154398" w:rsidRDefault="00FF3BDD" w:rsidP="00F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bath/shower is used by our household only </w:t>
            </w:r>
          </w:p>
        </w:tc>
        <w:tc>
          <w:tcPr>
            <w:tcW w:w="1611" w:type="dxa"/>
            <w:shd w:val="clear" w:color="auto" w:fill="auto"/>
          </w:tcPr>
          <w:p w14:paraId="2156BE47" w14:textId="7DAA5384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38.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17CE7B78" w14:textId="37ED8006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56C84D2E" w14:textId="77777777" w:rsidTr="008453DF">
        <w:tc>
          <w:tcPr>
            <w:tcW w:w="6277" w:type="dxa"/>
            <w:shd w:val="clear" w:color="auto" w:fill="auto"/>
          </w:tcPr>
          <w:p w14:paraId="6A0B6AFC" w14:textId="349F0EEE" w:rsidR="00154398" w:rsidRPr="00154398" w:rsidRDefault="00FF3BDD" w:rsidP="00F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Yes, bath/shower is shared with another household </w:t>
            </w:r>
          </w:p>
        </w:tc>
        <w:tc>
          <w:tcPr>
            <w:tcW w:w="1611" w:type="dxa"/>
            <w:shd w:val="clear" w:color="auto" w:fill="auto"/>
          </w:tcPr>
          <w:p w14:paraId="531437A9" w14:textId="2760894D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49A840BC" w14:textId="3B4388F4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1AFCBAF6" w14:textId="77777777" w:rsidTr="008453DF">
        <w:tc>
          <w:tcPr>
            <w:tcW w:w="6277" w:type="dxa"/>
            <w:shd w:val="clear" w:color="auto" w:fill="auto"/>
          </w:tcPr>
          <w:p w14:paraId="5D45B23B" w14:textId="775AC509" w:rsidR="00154398" w:rsidRPr="00154398" w:rsidRDefault="00FF3BD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55D35713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740" w:type="dxa"/>
            <w:shd w:val="clear" w:color="auto" w:fill="auto"/>
          </w:tcPr>
          <w:p w14:paraId="27C06558" w14:textId="2CA71115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4398" w:rsidRPr="00D65CC9" w14:paraId="0E76A94E" w14:textId="77777777" w:rsidTr="008453DF">
        <w:trPr>
          <w:trHeight w:val="217"/>
        </w:trPr>
        <w:tc>
          <w:tcPr>
            <w:tcW w:w="6277" w:type="dxa"/>
            <w:shd w:val="clear" w:color="auto" w:fill="auto"/>
          </w:tcPr>
          <w:p w14:paraId="6C9D289C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642BE02E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02443A21" w14:textId="20471C23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4874CB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5F25D36A" w14:textId="77777777" w:rsidTr="008453DF">
        <w:tc>
          <w:tcPr>
            <w:tcW w:w="6277" w:type="dxa"/>
            <w:shd w:val="clear" w:color="auto" w:fill="auto"/>
          </w:tcPr>
          <w:p w14:paraId="7949DA58" w14:textId="45917215" w:rsidR="00154398" w:rsidRPr="00154398" w:rsidRDefault="00FF3BDD" w:rsidP="00F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Flush toilet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214A5DFA" w14:textId="6E9D6D11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3D040AF9" w14:textId="27D211D0" w:rsidR="00154398" w:rsidRPr="00154398" w:rsidRDefault="0060729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FF3BDD" w:rsidRPr="00D65CC9" w14:paraId="489298CD" w14:textId="77777777" w:rsidTr="008453DF">
        <w:tc>
          <w:tcPr>
            <w:tcW w:w="6277" w:type="dxa"/>
            <w:shd w:val="clear" w:color="auto" w:fill="auto"/>
          </w:tcPr>
          <w:p w14:paraId="492C64FF" w14:textId="2709F57A" w:rsidR="00FF3BDD" w:rsidRPr="00154398" w:rsidRDefault="00FF3BDD" w:rsidP="00F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  <w:r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toilet is used by our household only </w:t>
            </w:r>
          </w:p>
        </w:tc>
        <w:tc>
          <w:tcPr>
            <w:tcW w:w="1611" w:type="dxa"/>
            <w:shd w:val="clear" w:color="auto" w:fill="auto"/>
          </w:tcPr>
          <w:p w14:paraId="472B5C29" w14:textId="773D75A8" w:rsidR="00FF3BDD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41.</w:t>
            </w:r>
            <w:r w:rsidR="00FF3BDD" w:rsidRPr="0015439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14:paraId="657B5C58" w14:textId="571CE2ED" w:rsidR="00FF3BDD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</w:t>
            </w:r>
            <w:r w:rsidR="00FF3BDD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F3BDD" w:rsidRPr="00D65CC9" w14:paraId="6E15A703" w14:textId="77777777" w:rsidTr="008453DF">
        <w:tc>
          <w:tcPr>
            <w:tcW w:w="6277" w:type="dxa"/>
            <w:shd w:val="clear" w:color="auto" w:fill="auto"/>
          </w:tcPr>
          <w:p w14:paraId="3AFCBB7A" w14:textId="5B066DFF" w:rsidR="00FF3BDD" w:rsidRPr="00154398" w:rsidRDefault="00FF3BDD" w:rsidP="00F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Yes, toilet is shared with another household </w:t>
            </w:r>
          </w:p>
        </w:tc>
        <w:tc>
          <w:tcPr>
            <w:tcW w:w="1611" w:type="dxa"/>
            <w:shd w:val="clear" w:color="auto" w:fill="auto"/>
          </w:tcPr>
          <w:p w14:paraId="0CB10A58" w14:textId="6A24BE0F" w:rsidR="00FF3BDD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7.</w:t>
            </w:r>
            <w:r w:rsidR="00FF3BDD" w:rsidRPr="0015439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14:paraId="7EE68F55" w14:textId="035C7E3B" w:rsidR="00FF3BDD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FF3BDD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4398" w:rsidRPr="00D65CC9" w14:paraId="11DAC1A5" w14:textId="77777777" w:rsidTr="008453DF">
        <w:tc>
          <w:tcPr>
            <w:tcW w:w="6277" w:type="dxa"/>
            <w:shd w:val="clear" w:color="auto" w:fill="auto"/>
          </w:tcPr>
          <w:p w14:paraId="4FB51719" w14:textId="1A17C46D" w:rsidR="00154398" w:rsidRPr="00154398" w:rsidRDefault="00FF3BD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71440168" w14:textId="6A2C203A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51.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14:paraId="58F6DF20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54398" w:rsidRPr="00D65CC9" w14:paraId="531A64D5" w14:textId="77777777" w:rsidTr="008453DF">
        <w:tc>
          <w:tcPr>
            <w:tcW w:w="6277" w:type="dxa"/>
            <w:shd w:val="clear" w:color="auto" w:fill="auto"/>
          </w:tcPr>
          <w:p w14:paraId="10438374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0916A893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454DC20E" w14:textId="0E63467F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4874CB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1AFFBB56" w14:textId="77777777" w:rsidTr="008453DF">
        <w:tc>
          <w:tcPr>
            <w:tcW w:w="6277" w:type="dxa"/>
            <w:shd w:val="clear" w:color="auto" w:fill="auto"/>
          </w:tcPr>
          <w:p w14:paraId="369B1FBD" w14:textId="24520EA5" w:rsidR="00154398" w:rsidRPr="00F31856" w:rsidRDefault="00F31856" w:rsidP="00F3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1856">
              <w:rPr>
                <w:rFonts w:ascii="Times New Roman" w:eastAsia="Times New Roman" w:hAnsi="Times New Roman" w:cs="Times New Roman"/>
                <w:b/>
              </w:rPr>
              <w:t>Households that encounter the following problems: leaking roofs, damp walls (flooring, foundation), rotten windows or flooring</w:t>
            </w:r>
            <w:r w:rsidRPr="00F31856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</w:t>
            </w:r>
            <w:r w:rsidR="00154398" w:rsidRPr="00F31856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781D5FC3" w14:textId="1425C171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19EFAE55" w14:textId="0C03E4DB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47C54B4F" w14:textId="77777777" w:rsidTr="008453DF">
        <w:tc>
          <w:tcPr>
            <w:tcW w:w="6277" w:type="dxa"/>
            <w:shd w:val="clear" w:color="auto" w:fill="auto"/>
          </w:tcPr>
          <w:p w14:paraId="5FC29E84" w14:textId="54B473BE" w:rsidR="00154398" w:rsidRPr="00154398" w:rsidRDefault="00FF3BD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48482AB5" w14:textId="7A869BF8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67.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740" w:type="dxa"/>
            <w:shd w:val="clear" w:color="auto" w:fill="auto"/>
          </w:tcPr>
          <w:p w14:paraId="139B4C28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154398" w:rsidRPr="00D65CC9" w14:paraId="1D7062EB" w14:textId="77777777" w:rsidTr="008453DF">
        <w:tc>
          <w:tcPr>
            <w:tcW w:w="6277" w:type="dxa"/>
            <w:shd w:val="clear" w:color="auto" w:fill="auto"/>
          </w:tcPr>
          <w:p w14:paraId="76E6F90D" w14:textId="24E06EB7" w:rsidR="00154398" w:rsidRPr="00154398" w:rsidRDefault="00FF3BD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15ED6262" w14:textId="26FCD252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32.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14:paraId="4EE40A6A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154398" w:rsidRPr="00D65CC9" w14:paraId="4300359C" w14:textId="77777777" w:rsidTr="008453DF">
        <w:tc>
          <w:tcPr>
            <w:tcW w:w="6277" w:type="dxa"/>
            <w:shd w:val="clear" w:color="auto" w:fill="auto"/>
          </w:tcPr>
          <w:p w14:paraId="7B8FA61D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50E49115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6B9EB7DB" w14:textId="11943E4C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4874CB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3ACFDA06" w14:textId="77777777" w:rsidTr="008453DF">
        <w:tc>
          <w:tcPr>
            <w:tcW w:w="6277" w:type="dxa"/>
            <w:shd w:val="clear" w:color="auto" w:fill="auto"/>
          </w:tcPr>
          <w:p w14:paraId="7A156E9F" w14:textId="6A6400EC" w:rsidR="00154398" w:rsidRPr="00154398" w:rsidRDefault="00F31856" w:rsidP="00F3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Adequate heating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2341B882" w14:textId="24F65D21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2B5018B0" w14:textId="2683C245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5D951331" w14:textId="77777777" w:rsidTr="008453DF">
        <w:tc>
          <w:tcPr>
            <w:tcW w:w="6277" w:type="dxa"/>
            <w:shd w:val="clear" w:color="auto" w:fill="auto"/>
          </w:tcPr>
          <w:p w14:paraId="52EBF9F6" w14:textId="151178E2" w:rsidR="00154398" w:rsidRPr="00154398" w:rsidRDefault="00FF3BD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41E12DC8" w14:textId="1F76B180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51.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14:paraId="76A61C35" w14:textId="06EF4BF8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4398" w:rsidRPr="00D65CC9" w14:paraId="6190CD12" w14:textId="77777777" w:rsidTr="008453DF">
        <w:tc>
          <w:tcPr>
            <w:tcW w:w="6277" w:type="dxa"/>
            <w:shd w:val="clear" w:color="auto" w:fill="auto"/>
          </w:tcPr>
          <w:p w14:paraId="3B0E150B" w14:textId="5DA65BA4" w:rsidR="00154398" w:rsidRPr="00154398" w:rsidRDefault="00FF3BD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264A2376" w14:textId="167DCDD0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48.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053F1EE4" w14:textId="76938496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4398" w:rsidRPr="00D65CC9" w14:paraId="0EC2628E" w14:textId="77777777" w:rsidTr="008453DF">
        <w:tc>
          <w:tcPr>
            <w:tcW w:w="6277" w:type="dxa"/>
            <w:shd w:val="clear" w:color="auto" w:fill="auto"/>
          </w:tcPr>
          <w:p w14:paraId="0B1806E1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33CCA953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4D88A8D9" w14:textId="1452536C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4874CB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434B0FD3" w14:textId="77777777" w:rsidTr="008453DF">
        <w:tc>
          <w:tcPr>
            <w:tcW w:w="6277" w:type="dxa"/>
            <w:shd w:val="clear" w:color="auto" w:fill="auto"/>
          </w:tcPr>
          <w:p w14:paraId="524B8D45" w14:textId="0B856235" w:rsidR="00154398" w:rsidRPr="00154398" w:rsidRDefault="00FF3BDD" w:rsidP="00F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Dark </w:t>
            </w:r>
            <w:r w:rsidRPr="00F31856">
              <w:rPr>
                <w:rFonts w:ascii="Times New Roman" w:eastAsia="Times New Roman" w:hAnsi="Times New Roman" w:cs="Times New Roman"/>
                <w:b/>
              </w:rPr>
              <w:t>accomodation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(not enough daylight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377765EF" w14:textId="68B1A153" w:rsidR="00154398" w:rsidRPr="00154398" w:rsidRDefault="00AE3EF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7A8E61CE" w14:textId="5BC14A05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06C517B8" w14:textId="77777777" w:rsidTr="008453DF">
        <w:tc>
          <w:tcPr>
            <w:tcW w:w="6277" w:type="dxa"/>
            <w:shd w:val="clear" w:color="auto" w:fill="auto"/>
          </w:tcPr>
          <w:p w14:paraId="31AAF263" w14:textId="2311D4C2" w:rsidR="00154398" w:rsidRPr="00154398" w:rsidRDefault="00FF3BD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0621868D" w14:textId="79F7E0A3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14:paraId="4F3386BE" w14:textId="6AF9304C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4398" w:rsidRPr="00D65CC9" w14:paraId="124385BF" w14:textId="77777777" w:rsidTr="008453DF">
        <w:tc>
          <w:tcPr>
            <w:tcW w:w="6277" w:type="dxa"/>
            <w:shd w:val="clear" w:color="auto" w:fill="auto"/>
          </w:tcPr>
          <w:p w14:paraId="522BA883" w14:textId="0C5E78F6" w:rsidR="00154398" w:rsidRPr="00154398" w:rsidRDefault="00FF3BD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6FEC8C0B" w14:textId="2DC00B17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63.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14:paraId="60C575C2" w14:textId="580461FB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4398" w:rsidRPr="00D65CC9" w14:paraId="05CE6720" w14:textId="77777777" w:rsidTr="008453DF">
        <w:tc>
          <w:tcPr>
            <w:tcW w:w="6277" w:type="dxa"/>
            <w:shd w:val="clear" w:color="auto" w:fill="auto"/>
          </w:tcPr>
          <w:p w14:paraId="436EA3F0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069406D5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77D6C848" w14:textId="3B2FBD2A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4874CB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2870CEAA" w14:textId="77777777" w:rsidTr="008453DF">
        <w:tc>
          <w:tcPr>
            <w:tcW w:w="6277" w:type="dxa"/>
            <w:shd w:val="clear" w:color="auto" w:fill="auto"/>
          </w:tcPr>
          <w:p w14:paraId="5A56D891" w14:textId="5A63C91F" w:rsidR="00154398" w:rsidRPr="00F31856" w:rsidRDefault="00F31856" w:rsidP="00F3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1856">
              <w:rPr>
                <w:rFonts w:ascii="Times New Roman" w:eastAsia="Times New Roman" w:hAnsi="Times New Roman" w:cs="Times New Roman"/>
                <w:b/>
              </w:rPr>
              <w:t xml:space="preserve">Households that suffer from noise caused by their next-door neighbors, staircase or outside </w:t>
            </w:r>
            <w:r w:rsidR="00154398" w:rsidRPr="00F31856">
              <w:rPr>
                <w:rFonts w:ascii="Times New Roman" w:eastAsia="Times New Roman" w:hAnsi="Times New Roman" w:cs="Times New Roman"/>
                <w:b/>
              </w:rPr>
              <w:t>(transport</w:t>
            </w:r>
            <w:r w:rsidRPr="00F31856">
              <w:rPr>
                <w:rFonts w:ascii="Times New Roman" w:eastAsia="Times New Roman" w:hAnsi="Times New Roman" w:cs="Times New Roman"/>
                <w:b/>
              </w:rPr>
              <w:t>, business, industry</w:t>
            </w:r>
            <w:r w:rsidR="00154398" w:rsidRPr="00F31856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="00154398" w:rsidRPr="00F31856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50BF1761" w14:textId="303487F9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4DF0C2DF" w14:textId="69F21987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2FFB5789" w14:textId="77777777" w:rsidTr="008453DF">
        <w:tc>
          <w:tcPr>
            <w:tcW w:w="6277" w:type="dxa"/>
            <w:shd w:val="clear" w:color="auto" w:fill="auto"/>
          </w:tcPr>
          <w:p w14:paraId="0AB50795" w14:textId="27BC47CB" w:rsidR="00154398" w:rsidRPr="00154398" w:rsidRDefault="00FF3BD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5DF09EF7" w14:textId="4094E3DA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31.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730F60A4" w14:textId="0239CA40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4398" w:rsidRPr="00D65CC9" w14:paraId="58EEC346" w14:textId="77777777" w:rsidTr="008453DF">
        <w:tc>
          <w:tcPr>
            <w:tcW w:w="6277" w:type="dxa"/>
            <w:shd w:val="clear" w:color="auto" w:fill="auto"/>
          </w:tcPr>
          <w:p w14:paraId="5859E23C" w14:textId="11722683" w:rsidR="00154398" w:rsidRPr="00154398" w:rsidRDefault="00FF3BD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0B48EBDF" w14:textId="38FB20A4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68.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14:paraId="078D75D9" w14:textId="601B549D" w:rsidR="00154398" w:rsidRPr="00154398" w:rsidRDefault="004874CB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72B84558" w14:textId="77777777" w:rsidTr="008453DF">
        <w:tc>
          <w:tcPr>
            <w:tcW w:w="6277" w:type="dxa"/>
            <w:shd w:val="clear" w:color="auto" w:fill="auto"/>
          </w:tcPr>
          <w:p w14:paraId="5AC62C2B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7F99625B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3A5F3D1D" w14:textId="08219A59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74E331BC" w14:textId="77777777" w:rsidTr="008453DF">
        <w:tc>
          <w:tcPr>
            <w:tcW w:w="6277" w:type="dxa"/>
            <w:shd w:val="clear" w:color="auto" w:fill="auto"/>
          </w:tcPr>
          <w:p w14:paraId="22492992" w14:textId="27CEE365" w:rsidR="00154398" w:rsidRPr="00154398" w:rsidRDefault="00FF3BDD" w:rsidP="00F3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Air and environment pollution in the </w:t>
            </w:r>
            <w:r w:rsidR="00F31856">
              <w:rPr>
                <w:rFonts w:ascii="Times New Roman" w:eastAsia="Times New Roman" w:hAnsi="Times New Roman" w:cs="Times New Roman"/>
                <w:b/>
              </w:rPr>
              <w:t>area</w:t>
            </w:r>
            <w:r w:rsidR="00785F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6BCC8F64" w14:textId="314BF415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21A5E8DD" w14:textId="7308C583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7493D5C1" w14:textId="77777777" w:rsidTr="008453DF">
        <w:tc>
          <w:tcPr>
            <w:tcW w:w="6277" w:type="dxa"/>
            <w:shd w:val="clear" w:color="auto" w:fill="auto"/>
          </w:tcPr>
          <w:p w14:paraId="4AF7F621" w14:textId="3956733E" w:rsidR="00154398" w:rsidRPr="00154398" w:rsidRDefault="00785F21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25AA1B25" w14:textId="09F1B092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14:paraId="09E0150A" w14:textId="66D773B5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4398" w:rsidRPr="00D65CC9" w14:paraId="0AAE3FAE" w14:textId="77777777" w:rsidTr="008453DF">
        <w:tc>
          <w:tcPr>
            <w:tcW w:w="6277" w:type="dxa"/>
            <w:shd w:val="clear" w:color="auto" w:fill="auto"/>
          </w:tcPr>
          <w:p w14:paraId="667C44FF" w14:textId="61397576" w:rsidR="00154398" w:rsidRPr="00154398" w:rsidRDefault="00785F21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486FDC74" w14:textId="29554B5B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69.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14:paraId="0669249D" w14:textId="067558F3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54398" w:rsidRPr="00D65CC9" w14:paraId="33B28996" w14:textId="77777777" w:rsidTr="008453DF">
        <w:tc>
          <w:tcPr>
            <w:tcW w:w="6277" w:type="dxa"/>
            <w:shd w:val="clear" w:color="auto" w:fill="auto"/>
          </w:tcPr>
          <w:p w14:paraId="59CDA2DE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40EE0261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05DE1404" w14:textId="5EE22749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0899F0D8" w14:textId="77777777" w:rsidTr="008453DF">
        <w:tc>
          <w:tcPr>
            <w:tcW w:w="6277" w:type="dxa"/>
            <w:shd w:val="clear" w:color="auto" w:fill="auto"/>
          </w:tcPr>
          <w:p w14:paraId="635518CE" w14:textId="7C97CB58" w:rsidR="00154398" w:rsidRPr="00154398" w:rsidRDefault="00785F21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Live in a crime, violence and vandalism-ridden area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52A58475" w14:textId="234CE73E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32D74C61" w14:textId="104B9505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7CCEC1EA" w14:textId="77777777" w:rsidTr="008453DF">
        <w:tc>
          <w:tcPr>
            <w:tcW w:w="6277" w:type="dxa"/>
            <w:shd w:val="clear" w:color="auto" w:fill="auto"/>
          </w:tcPr>
          <w:p w14:paraId="14B94C83" w14:textId="2EF26640" w:rsidR="00154398" w:rsidRPr="00154398" w:rsidRDefault="00785F21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23B9005A" w14:textId="40CCF7E9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33.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740" w:type="dxa"/>
            <w:shd w:val="clear" w:color="auto" w:fill="auto"/>
          </w:tcPr>
          <w:p w14:paraId="0B4F5078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4398" w:rsidRPr="00D65CC9" w14:paraId="4B1E826A" w14:textId="77777777" w:rsidTr="008453DF">
        <w:tc>
          <w:tcPr>
            <w:tcW w:w="6277" w:type="dxa"/>
            <w:shd w:val="clear" w:color="auto" w:fill="auto"/>
          </w:tcPr>
          <w:p w14:paraId="22F2224C" w14:textId="2DFA3C71" w:rsidR="00154398" w:rsidRPr="00154398" w:rsidRDefault="00785F21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3E1A93DA" w14:textId="109DD56B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66.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14:paraId="1CA6EEA9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154398" w:rsidRPr="00D65CC9" w14:paraId="16571AF0" w14:textId="77777777" w:rsidTr="008453DF">
        <w:tc>
          <w:tcPr>
            <w:tcW w:w="6277" w:type="dxa"/>
            <w:shd w:val="clear" w:color="auto" w:fill="auto"/>
          </w:tcPr>
          <w:p w14:paraId="6C7DFF1C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38B0D6E0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73301308" w14:textId="250A0086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785F21" w14:paraId="726F0565" w14:textId="77777777" w:rsidTr="008453DF">
        <w:tc>
          <w:tcPr>
            <w:tcW w:w="9628" w:type="dxa"/>
            <w:gridSpan w:val="3"/>
            <w:shd w:val="clear" w:color="auto" w:fill="auto"/>
          </w:tcPr>
          <w:p w14:paraId="26B11493" w14:textId="652244D6" w:rsidR="00154398" w:rsidRPr="00154398" w:rsidRDefault="00785F21" w:rsidP="00785F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Financial situation</w:t>
            </w:r>
          </w:p>
        </w:tc>
      </w:tr>
      <w:tr w:rsidR="00154398" w:rsidRPr="00785F21" w14:paraId="490E8662" w14:textId="77777777" w:rsidTr="008453DF">
        <w:tc>
          <w:tcPr>
            <w:tcW w:w="6277" w:type="dxa"/>
            <w:shd w:val="clear" w:color="auto" w:fill="auto"/>
          </w:tcPr>
          <w:p w14:paraId="282EE429" w14:textId="27056B77" w:rsidR="00154398" w:rsidRPr="00154398" w:rsidRDefault="00785F21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Housing compensation </w:t>
            </w:r>
            <w:r w:rsidR="00154398" w:rsidRPr="00785F2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29F3C519" w14:textId="0FD26841" w:rsidR="00154398" w:rsidRPr="00154398" w:rsidRDefault="001D7DAF" w:rsidP="001D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07DD1F83" w14:textId="0F4DF849" w:rsidR="00154398" w:rsidRPr="00785F21" w:rsidRDefault="001D7DAF" w:rsidP="001D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785F21"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</w:tr>
      <w:tr w:rsidR="00154398" w:rsidRPr="00D65CC9" w14:paraId="2AC6C07F" w14:textId="77777777" w:rsidTr="008453DF">
        <w:tc>
          <w:tcPr>
            <w:tcW w:w="6277" w:type="dxa"/>
            <w:shd w:val="clear" w:color="auto" w:fill="auto"/>
          </w:tcPr>
          <w:p w14:paraId="4D46345E" w14:textId="2E2FA2A8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1953E107" w14:textId="3654C8DB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14:paraId="41EC8C14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4398" w:rsidRPr="00D65CC9" w14:paraId="27CBE6D4" w14:textId="77777777" w:rsidTr="008453DF">
        <w:tc>
          <w:tcPr>
            <w:tcW w:w="6277" w:type="dxa"/>
            <w:shd w:val="clear" w:color="auto" w:fill="auto"/>
          </w:tcPr>
          <w:p w14:paraId="25D38AD3" w14:textId="65A968C3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3F818D74" w14:textId="3B93131D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70.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681C7BF2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154398" w:rsidRPr="00D65CC9" w14:paraId="305CE3AD" w14:textId="77777777" w:rsidTr="008453DF">
        <w:tc>
          <w:tcPr>
            <w:tcW w:w="6277" w:type="dxa"/>
            <w:shd w:val="clear" w:color="auto" w:fill="auto"/>
          </w:tcPr>
          <w:p w14:paraId="54632CC7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7BB9BF5B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1FEF09EF" w14:textId="0BC2E8D4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165DA352" w14:textId="77777777" w:rsidTr="008453DF">
        <w:tc>
          <w:tcPr>
            <w:tcW w:w="6277" w:type="dxa"/>
            <w:shd w:val="clear" w:color="auto" w:fill="auto"/>
          </w:tcPr>
          <w:p w14:paraId="7697331E" w14:textId="3C6105C4" w:rsidR="00154398" w:rsidRPr="00154398" w:rsidRDefault="00785F21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Missed deadli</w:t>
            </w:r>
            <w:r w:rsidR="0048631A">
              <w:rPr>
                <w:rFonts w:ascii="Times New Roman" w:eastAsia="Times New Roman" w:hAnsi="Times New Roman" w:cs="Times New Roman"/>
                <w:b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 for mortgage or rent payments because of the lack of financial resources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21910CD9" w14:textId="22521505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54A6998D" w14:textId="28C90756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392591AB" w14:textId="77777777" w:rsidTr="008453DF">
        <w:tc>
          <w:tcPr>
            <w:tcW w:w="6277" w:type="dxa"/>
            <w:shd w:val="clear" w:color="auto" w:fill="auto"/>
          </w:tcPr>
          <w:p w14:paraId="214F4640" w14:textId="68A91F45" w:rsidR="00154398" w:rsidRPr="00154398" w:rsidRDefault="00A645F0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785F21">
              <w:rPr>
                <w:rFonts w:ascii="Times New Roman" w:eastAsia="Times New Roman" w:hAnsi="Times New Roman" w:cs="Times New Roman"/>
                <w:lang w:val="en-US"/>
              </w:rPr>
              <w:t>time</w:t>
            </w:r>
          </w:p>
        </w:tc>
        <w:tc>
          <w:tcPr>
            <w:tcW w:w="1611" w:type="dxa"/>
            <w:shd w:val="clear" w:color="auto" w:fill="auto"/>
          </w:tcPr>
          <w:p w14:paraId="7946C755" w14:textId="056CD361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14:paraId="2B5A1006" w14:textId="4D4D949C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4398" w:rsidRPr="00D65CC9" w14:paraId="71E647D7" w14:textId="77777777" w:rsidTr="008453DF">
        <w:tc>
          <w:tcPr>
            <w:tcW w:w="6277" w:type="dxa"/>
            <w:shd w:val="clear" w:color="auto" w:fill="auto"/>
          </w:tcPr>
          <w:p w14:paraId="71521EA4" w14:textId="0E3753A5" w:rsidR="00154398" w:rsidRPr="00154398" w:rsidRDefault="00A645F0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  <w:r w:rsidR="00785F21">
              <w:rPr>
                <w:rFonts w:ascii="Times New Roman" w:eastAsia="Times New Roman" w:hAnsi="Times New Roman" w:cs="Times New Roman"/>
                <w:lang w:val="en-US"/>
              </w:rPr>
              <w:t xml:space="preserve">and more times </w:t>
            </w:r>
          </w:p>
        </w:tc>
        <w:tc>
          <w:tcPr>
            <w:tcW w:w="1611" w:type="dxa"/>
            <w:shd w:val="clear" w:color="auto" w:fill="auto"/>
          </w:tcPr>
          <w:p w14:paraId="766E6B64" w14:textId="070DEB12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14:paraId="051AD83D" w14:textId="3BD09C3D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4398" w:rsidRPr="00D65CC9" w14:paraId="007B3D2F" w14:textId="77777777" w:rsidTr="008453DF">
        <w:tc>
          <w:tcPr>
            <w:tcW w:w="6277" w:type="dxa"/>
            <w:shd w:val="clear" w:color="auto" w:fill="auto"/>
          </w:tcPr>
          <w:p w14:paraId="2A5EFF57" w14:textId="128C6287" w:rsidR="00154398" w:rsidRPr="00154398" w:rsidRDefault="00785F21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always paid in time </w:t>
            </w:r>
          </w:p>
        </w:tc>
        <w:tc>
          <w:tcPr>
            <w:tcW w:w="1611" w:type="dxa"/>
            <w:shd w:val="clear" w:color="auto" w:fill="auto"/>
          </w:tcPr>
          <w:p w14:paraId="19766661" w14:textId="5BF715FD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14:paraId="6E424C6F" w14:textId="10985780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4398" w:rsidRPr="00D65CC9" w14:paraId="653113A8" w14:textId="77777777" w:rsidTr="008453DF">
        <w:tc>
          <w:tcPr>
            <w:tcW w:w="6277" w:type="dxa"/>
            <w:shd w:val="clear" w:color="auto" w:fill="auto"/>
          </w:tcPr>
          <w:p w14:paraId="12E6D51F" w14:textId="2F3A02BE" w:rsidR="00154398" w:rsidRPr="00154398" w:rsidRDefault="00785F21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Did not have to pay </w:t>
            </w:r>
          </w:p>
        </w:tc>
        <w:tc>
          <w:tcPr>
            <w:tcW w:w="1611" w:type="dxa"/>
            <w:shd w:val="clear" w:color="auto" w:fill="auto"/>
          </w:tcPr>
          <w:p w14:paraId="3C8ABDB6" w14:textId="52C48C20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53.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319CBDFB" w14:textId="188BC570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4398" w:rsidRPr="00D65CC9" w14:paraId="4F670DC9" w14:textId="77777777" w:rsidTr="008453DF">
        <w:tc>
          <w:tcPr>
            <w:tcW w:w="6277" w:type="dxa"/>
            <w:shd w:val="clear" w:color="auto" w:fill="auto"/>
          </w:tcPr>
          <w:p w14:paraId="26CC0D31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7D22DF9F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110</w:t>
            </w:r>
          </w:p>
        </w:tc>
        <w:tc>
          <w:tcPr>
            <w:tcW w:w="1740" w:type="dxa"/>
            <w:shd w:val="clear" w:color="auto" w:fill="auto"/>
          </w:tcPr>
          <w:p w14:paraId="3DE9DA43" w14:textId="45220F7C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785F21" w14:paraId="33CBB2ED" w14:textId="77777777" w:rsidTr="008453DF">
        <w:trPr>
          <w:trHeight w:val="269"/>
        </w:trPr>
        <w:tc>
          <w:tcPr>
            <w:tcW w:w="6277" w:type="dxa"/>
            <w:shd w:val="clear" w:color="auto" w:fill="auto"/>
          </w:tcPr>
          <w:p w14:paraId="3F88C2DE" w14:textId="00ADC5B3" w:rsidR="00154398" w:rsidRPr="00154398" w:rsidRDefault="00785F21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Missed deadli</w:t>
            </w:r>
            <w:r w:rsidR="0048631A">
              <w:rPr>
                <w:rFonts w:ascii="Times New Roman" w:eastAsia="Times New Roman" w:hAnsi="Times New Roman" w:cs="Times New Roman"/>
                <w:b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 for utility bills due of the lack of resources </w:t>
            </w:r>
            <w:r w:rsidR="00154398" w:rsidRPr="00785F2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7CA8993C" w14:textId="6D3FCD65" w:rsidR="00154398" w:rsidRPr="00154398" w:rsidRDefault="001D7DAF" w:rsidP="001D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6B0B83C9" w14:textId="7426E5E8" w:rsidR="00154398" w:rsidRPr="00785F21" w:rsidRDefault="001D7DAF" w:rsidP="001D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785F21"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</w:tr>
      <w:tr w:rsidR="00154398" w:rsidRPr="00D65CC9" w14:paraId="7B3C4E32" w14:textId="77777777" w:rsidTr="008453DF">
        <w:tc>
          <w:tcPr>
            <w:tcW w:w="6277" w:type="dxa"/>
            <w:shd w:val="clear" w:color="auto" w:fill="auto"/>
          </w:tcPr>
          <w:p w14:paraId="289C0025" w14:textId="76104DBA" w:rsidR="00154398" w:rsidRPr="00154398" w:rsidRDefault="00A645F0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785F21">
              <w:rPr>
                <w:rFonts w:ascii="Times New Roman" w:eastAsia="Times New Roman" w:hAnsi="Times New Roman" w:cs="Times New Roman"/>
                <w:lang w:val="en-US"/>
              </w:rPr>
              <w:t>time</w:t>
            </w:r>
          </w:p>
        </w:tc>
        <w:tc>
          <w:tcPr>
            <w:tcW w:w="1611" w:type="dxa"/>
            <w:shd w:val="clear" w:color="auto" w:fill="auto"/>
          </w:tcPr>
          <w:p w14:paraId="03BE6150" w14:textId="1AA8046C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39A7F3AF" w14:textId="4025B776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2D180E22" w14:textId="77777777" w:rsidTr="008453DF">
        <w:tc>
          <w:tcPr>
            <w:tcW w:w="6277" w:type="dxa"/>
            <w:shd w:val="clear" w:color="auto" w:fill="auto"/>
          </w:tcPr>
          <w:p w14:paraId="5390DB42" w14:textId="38E57420" w:rsidR="00154398" w:rsidRPr="00154398" w:rsidRDefault="00A645F0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  <w:r w:rsidR="00785F21">
              <w:rPr>
                <w:rFonts w:ascii="Times New Roman" w:eastAsia="Times New Roman" w:hAnsi="Times New Roman" w:cs="Times New Roman"/>
                <w:lang w:val="en-US"/>
              </w:rPr>
              <w:t>and more times</w:t>
            </w:r>
          </w:p>
        </w:tc>
        <w:tc>
          <w:tcPr>
            <w:tcW w:w="1611" w:type="dxa"/>
            <w:shd w:val="clear" w:color="auto" w:fill="auto"/>
          </w:tcPr>
          <w:p w14:paraId="77385FFF" w14:textId="35787A1D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58.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48C79E7D" w14:textId="3C27086D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25532EF0" w14:textId="77777777" w:rsidTr="008453DF">
        <w:tc>
          <w:tcPr>
            <w:tcW w:w="6277" w:type="dxa"/>
            <w:shd w:val="clear" w:color="auto" w:fill="auto"/>
          </w:tcPr>
          <w:p w14:paraId="0EE2F756" w14:textId="56F0A901" w:rsidR="00154398" w:rsidRPr="00154398" w:rsidRDefault="00785F21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always paid in time </w:t>
            </w:r>
          </w:p>
        </w:tc>
        <w:tc>
          <w:tcPr>
            <w:tcW w:w="1611" w:type="dxa"/>
            <w:shd w:val="clear" w:color="auto" w:fill="auto"/>
          </w:tcPr>
          <w:p w14:paraId="34374E92" w14:textId="7170288B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48CE16F2" w14:textId="4D2DCD23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1AD013BC" w14:textId="77777777" w:rsidTr="008453DF">
        <w:tc>
          <w:tcPr>
            <w:tcW w:w="6277" w:type="dxa"/>
            <w:shd w:val="clear" w:color="auto" w:fill="auto"/>
          </w:tcPr>
          <w:p w14:paraId="033C6BAF" w14:textId="6586F68A" w:rsidR="00154398" w:rsidRPr="00154398" w:rsidRDefault="00785F21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Did not have to pay</w:t>
            </w:r>
          </w:p>
        </w:tc>
        <w:tc>
          <w:tcPr>
            <w:tcW w:w="1611" w:type="dxa"/>
            <w:shd w:val="clear" w:color="auto" w:fill="auto"/>
          </w:tcPr>
          <w:p w14:paraId="3FFBB86B" w14:textId="326FD18D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14:paraId="36DEC248" w14:textId="7EDB4C00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4398" w:rsidRPr="00D65CC9" w14:paraId="5B9B2354" w14:textId="77777777" w:rsidTr="008453DF">
        <w:tc>
          <w:tcPr>
            <w:tcW w:w="6277" w:type="dxa"/>
            <w:shd w:val="clear" w:color="auto" w:fill="auto"/>
          </w:tcPr>
          <w:p w14:paraId="3B91C307" w14:textId="59FB99B5" w:rsidR="00154398" w:rsidRPr="00154398" w:rsidRDefault="00785F21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61F3B211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110</w:t>
            </w:r>
          </w:p>
        </w:tc>
        <w:tc>
          <w:tcPr>
            <w:tcW w:w="1740" w:type="dxa"/>
            <w:shd w:val="clear" w:color="auto" w:fill="auto"/>
          </w:tcPr>
          <w:p w14:paraId="5D031DCD" w14:textId="3DFFA33F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292CCF7F" w14:textId="77777777" w:rsidTr="008453DF">
        <w:tc>
          <w:tcPr>
            <w:tcW w:w="6277" w:type="dxa"/>
            <w:shd w:val="clear" w:color="auto" w:fill="auto"/>
          </w:tcPr>
          <w:p w14:paraId="69A72FE5" w14:textId="2039933E" w:rsidR="00154398" w:rsidRPr="0048631A" w:rsidRDefault="00785F21" w:rsidP="0048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31A">
              <w:rPr>
                <w:rFonts w:ascii="Times New Roman" w:eastAsia="Times New Roman" w:hAnsi="Times New Roman" w:cs="Times New Roman"/>
                <w:b/>
              </w:rPr>
              <w:t>Missed deadli</w:t>
            </w:r>
            <w:r w:rsidR="0048631A" w:rsidRPr="0048631A">
              <w:rPr>
                <w:rFonts w:ascii="Times New Roman" w:eastAsia="Times New Roman" w:hAnsi="Times New Roman" w:cs="Times New Roman"/>
                <w:b/>
              </w:rPr>
              <w:t>ne</w:t>
            </w:r>
            <w:r w:rsidRPr="0048631A">
              <w:rPr>
                <w:rFonts w:ascii="Times New Roman" w:eastAsia="Times New Roman" w:hAnsi="Times New Roman" w:cs="Times New Roman"/>
                <w:b/>
              </w:rPr>
              <w:t xml:space="preserve">s for payment of </w:t>
            </w:r>
            <w:r w:rsidR="0048631A" w:rsidRPr="0048631A">
              <w:rPr>
                <w:rFonts w:ascii="Times New Roman" w:eastAsia="Times New Roman" w:hAnsi="Times New Roman" w:cs="Times New Roman"/>
                <w:b/>
              </w:rPr>
              <w:t xml:space="preserve">other loans, credits or interest </w:t>
            </w:r>
            <w:r w:rsidR="00154398" w:rsidRPr="0048631A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4DE550FD" w14:textId="061BC54C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7160C9DB" w14:textId="55189FCB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4DDF1E82" w14:textId="77777777" w:rsidTr="008453DF">
        <w:tc>
          <w:tcPr>
            <w:tcW w:w="6277" w:type="dxa"/>
            <w:shd w:val="clear" w:color="auto" w:fill="auto"/>
          </w:tcPr>
          <w:p w14:paraId="3720F535" w14:textId="2D2253CB" w:rsidR="00154398" w:rsidRPr="00154398" w:rsidRDefault="00A645F0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785F21">
              <w:rPr>
                <w:rFonts w:ascii="Times New Roman" w:eastAsia="Times New Roman" w:hAnsi="Times New Roman" w:cs="Times New Roman"/>
                <w:lang w:val="en-US"/>
              </w:rPr>
              <w:t>time</w:t>
            </w:r>
          </w:p>
        </w:tc>
        <w:tc>
          <w:tcPr>
            <w:tcW w:w="1611" w:type="dxa"/>
            <w:shd w:val="clear" w:color="auto" w:fill="auto"/>
          </w:tcPr>
          <w:p w14:paraId="066BC355" w14:textId="16B34BA5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14:paraId="6F313585" w14:textId="4682574B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4398" w:rsidRPr="00D65CC9" w14:paraId="4A29A484" w14:textId="77777777" w:rsidTr="008453DF">
        <w:tc>
          <w:tcPr>
            <w:tcW w:w="6277" w:type="dxa"/>
            <w:shd w:val="clear" w:color="auto" w:fill="auto"/>
          </w:tcPr>
          <w:p w14:paraId="03A25059" w14:textId="17B0068F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Yes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785F21">
              <w:rPr>
                <w:rFonts w:ascii="Times New Roman" w:eastAsia="Times New Roman" w:hAnsi="Times New Roman" w:cs="Times New Roman"/>
                <w:lang w:val="en-US"/>
              </w:rPr>
              <w:t>2 and more times</w:t>
            </w:r>
          </w:p>
        </w:tc>
        <w:tc>
          <w:tcPr>
            <w:tcW w:w="1611" w:type="dxa"/>
            <w:shd w:val="clear" w:color="auto" w:fill="auto"/>
          </w:tcPr>
          <w:p w14:paraId="04F1281F" w14:textId="2C86D0DB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329CF32C" w14:textId="08B7260B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4398" w:rsidRPr="00D65CC9" w14:paraId="3D5D1AF6" w14:textId="77777777" w:rsidTr="008453DF">
        <w:tc>
          <w:tcPr>
            <w:tcW w:w="6277" w:type="dxa"/>
            <w:shd w:val="clear" w:color="auto" w:fill="auto"/>
          </w:tcPr>
          <w:p w14:paraId="3A994B5F" w14:textId="5EE9762D" w:rsidR="00154398" w:rsidRPr="00154398" w:rsidRDefault="00A645F0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785F21">
              <w:rPr>
                <w:rFonts w:ascii="Times New Roman" w:eastAsia="Times New Roman" w:hAnsi="Times New Roman" w:cs="Times New Roman"/>
              </w:rPr>
              <w:t>always paid in time</w:t>
            </w:r>
          </w:p>
        </w:tc>
        <w:tc>
          <w:tcPr>
            <w:tcW w:w="1611" w:type="dxa"/>
            <w:shd w:val="clear" w:color="auto" w:fill="auto"/>
          </w:tcPr>
          <w:p w14:paraId="25ED592D" w14:textId="6B45BA5A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14:paraId="1D82C8C6" w14:textId="79BC5ABF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4398" w:rsidRPr="00D65CC9" w14:paraId="4A3DC5E9" w14:textId="77777777" w:rsidTr="008453DF">
        <w:tc>
          <w:tcPr>
            <w:tcW w:w="6277" w:type="dxa"/>
            <w:shd w:val="clear" w:color="auto" w:fill="auto"/>
          </w:tcPr>
          <w:p w14:paraId="37E030B3" w14:textId="4A8DB669" w:rsidR="00154398" w:rsidRPr="00154398" w:rsidRDefault="00785F21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Did not have to pay</w:t>
            </w:r>
          </w:p>
        </w:tc>
        <w:tc>
          <w:tcPr>
            <w:tcW w:w="1611" w:type="dxa"/>
            <w:shd w:val="clear" w:color="auto" w:fill="auto"/>
          </w:tcPr>
          <w:p w14:paraId="2EB91AFF" w14:textId="58B5486D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56.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14:paraId="0E4D658F" w14:textId="6ED7EF1E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05AA7625" w14:textId="77777777" w:rsidTr="008453DF">
        <w:tc>
          <w:tcPr>
            <w:tcW w:w="6277" w:type="dxa"/>
            <w:shd w:val="clear" w:color="auto" w:fill="auto"/>
          </w:tcPr>
          <w:p w14:paraId="3EDE66DE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751D29B6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110</w:t>
            </w:r>
          </w:p>
        </w:tc>
        <w:tc>
          <w:tcPr>
            <w:tcW w:w="1740" w:type="dxa"/>
            <w:shd w:val="clear" w:color="auto" w:fill="auto"/>
          </w:tcPr>
          <w:p w14:paraId="7AD62DDD" w14:textId="6CFD546C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48B05262" w14:textId="77777777" w:rsidTr="008453DF">
        <w:tc>
          <w:tcPr>
            <w:tcW w:w="6277" w:type="dxa"/>
            <w:shd w:val="clear" w:color="auto" w:fill="auto"/>
          </w:tcPr>
          <w:p w14:paraId="77830A7B" w14:textId="183A6D6B" w:rsidR="00154398" w:rsidRPr="00154398" w:rsidRDefault="00785F21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Ability to afford a week</w:t>
            </w:r>
            <w:r w:rsidR="0048631A">
              <w:rPr>
                <w:rFonts w:ascii="Times New Roman" w:eastAsia="Times New Roman" w:hAnsi="Times New Roman" w:cs="Times New Roman"/>
                <w:b/>
              </w:rPr>
              <w:t>’s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holiday away from home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793614DB" w14:textId="49ABB37F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2ACAFF49" w14:textId="4B5F9DD9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1BAEBDF9" w14:textId="77777777" w:rsidTr="008453DF">
        <w:tc>
          <w:tcPr>
            <w:tcW w:w="6277" w:type="dxa"/>
            <w:shd w:val="clear" w:color="auto" w:fill="auto"/>
          </w:tcPr>
          <w:p w14:paraId="2F5562A7" w14:textId="1061EAE2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79B66D77" w14:textId="0017DF61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66927566" w14:textId="0C49C7B8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4398" w:rsidRPr="00D65CC9" w14:paraId="679E0410" w14:textId="77777777" w:rsidTr="008453DF">
        <w:tc>
          <w:tcPr>
            <w:tcW w:w="6277" w:type="dxa"/>
            <w:shd w:val="clear" w:color="auto" w:fill="auto"/>
          </w:tcPr>
          <w:p w14:paraId="19BAACDC" w14:textId="484A1D49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29863EA1" w14:textId="10C3B343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74.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1E1D5DA3" w14:textId="09C5EAAA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4398" w:rsidRPr="00D65CC9" w14:paraId="050E7118" w14:textId="77777777" w:rsidTr="008453DF">
        <w:tc>
          <w:tcPr>
            <w:tcW w:w="6277" w:type="dxa"/>
            <w:shd w:val="clear" w:color="auto" w:fill="auto"/>
          </w:tcPr>
          <w:p w14:paraId="340ECF73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37394F5C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110</w:t>
            </w:r>
          </w:p>
        </w:tc>
        <w:tc>
          <w:tcPr>
            <w:tcW w:w="1740" w:type="dxa"/>
            <w:shd w:val="clear" w:color="auto" w:fill="auto"/>
          </w:tcPr>
          <w:p w14:paraId="2CA65B6F" w14:textId="08C8281E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02CD0D95" w14:textId="77777777" w:rsidTr="008453DF">
        <w:tc>
          <w:tcPr>
            <w:tcW w:w="6277" w:type="dxa"/>
            <w:shd w:val="clear" w:color="auto" w:fill="auto"/>
          </w:tcPr>
          <w:p w14:paraId="161548F0" w14:textId="2A74EB9C" w:rsidR="00154398" w:rsidRPr="00154398" w:rsidRDefault="00785F21" w:rsidP="007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Ability to afford a meal with meat, fish or vegetarian equivalent every second day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499BE0E6" w14:textId="59ECC770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7C0FBCDB" w14:textId="1F03FDFC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41AC20B2" w14:textId="77777777" w:rsidTr="008453DF">
        <w:tc>
          <w:tcPr>
            <w:tcW w:w="6277" w:type="dxa"/>
            <w:shd w:val="clear" w:color="auto" w:fill="auto"/>
          </w:tcPr>
          <w:p w14:paraId="0F8EAF86" w14:textId="226438DC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6FF06977" w14:textId="067EBE41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57.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14:paraId="750AFD80" w14:textId="0383A360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4398" w:rsidRPr="00D65CC9" w14:paraId="4A8E5922" w14:textId="77777777" w:rsidTr="008453DF">
        <w:tc>
          <w:tcPr>
            <w:tcW w:w="6277" w:type="dxa"/>
            <w:shd w:val="clear" w:color="auto" w:fill="auto"/>
          </w:tcPr>
          <w:p w14:paraId="036F169F" w14:textId="18AAD2B5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57C38FF3" w14:textId="3464C36D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42.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14:paraId="04765458" w14:textId="06942DA0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4398" w:rsidRPr="00D65CC9" w14:paraId="2F74F14B" w14:textId="77777777" w:rsidTr="008453DF">
        <w:tc>
          <w:tcPr>
            <w:tcW w:w="6277" w:type="dxa"/>
            <w:shd w:val="clear" w:color="auto" w:fill="auto"/>
          </w:tcPr>
          <w:p w14:paraId="51FE4AC9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2387EE44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110</w:t>
            </w:r>
          </w:p>
        </w:tc>
        <w:tc>
          <w:tcPr>
            <w:tcW w:w="1740" w:type="dxa"/>
            <w:shd w:val="clear" w:color="auto" w:fill="auto"/>
          </w:tcPr>
          <w:p w14:paraId="30CC7A19" w14:textId="7DA707CC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10348FBD" w14:textId="77777777" w:rsidTr="008453DF">
        <w:tc>
          <w:tcPr>
            <w:tcW w:w="6277" w:type="dxa"/>
            <w:shd w:val="clear" w:color="auto" w:fill="auto"/>
          </w:tcPr>
          <w:p w14:paraId="3459866A" w14:textId="3A91588C" w:rsidR="00154398" w:rsidRPr="00154398" w:rsidRDefault="00785F21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Ability to </w:t>
            </w:r>
            <w:r w:rsidR="00726069" w:rsidRPr="0048631A">
              <w:rPr>
                <w:rFonts w:ascii="Times New Roman" w:eastAsia="Times New Roman" w:hAnsi="Times New Roman" w:cs="Times New Roman"/>
                <w:b/>
              </w:rPr>
              <w:t>afford</w:t>
            </w:r>
            <w:r w:rsidR="0048631A">
              <w:rPr>
                <w:rFonts w:ascii="Times New Roman" w:eastAsia="Times New Roman" w:hAnsi="Times New Roman" w:cs="Times New Roman"/>
                <w:b/>
              </w:rPr>
              <w:t xml:space="preserve"> une</w:t>
            </w:r>
            <w:r w:rsidR="00726069">
              <w:rPr>
                <w:rFonts w:ascii="Times New Roman" w:eastAsia="Times New Roman" w:hAnsi="Times New Roman" w:cs="Times New Roman"/>
                <w:b/>
              </w:rPr>
              <w:t>xpected expenses</w:t>
            </w:r>
            <w:r w:rsidR="00154398" w:rsidRPr="00154398">
              <w:rPr>
                <w:rStyle w:val="FootnoteReference"/>
                <w:rFonts w:ascii="Times New Roman" w:eastAsia="Times New Roman" w:hAnsi="Times New Roman" w:cs="Times New Roman"/>
                <w:b/>
              </w:rPr>
              <w:footnoteReference w:id="8"/>
            </w:r>
            <w:r w:rsidR="00154398">
              <w:rPr>
                <w:rFonts w:ascii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698664E0" w14:textId="407606AD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63D8D371" w14:textId="0CF12A13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43ADEFA9" w14:textId="77777777" w:rsidTr="008453DF">
        <w:tc>
          <w:tcPr>
            <w:tcW w:w="6277" w:type="dxa"/>
            <w:shd w:val="clear" w:color="auto" w:fill="auto"/>
          </w:tcPr>
          <w:p w14:paraId="4B7AF889" w14:textId="0C30A2C9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479D866C" w14:textId="4BB4E028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14:paraId="013AB13C" w14:textId="21250C31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3A00632A" w14:textId="77777777" w:rsidTr="008453DF">
        <w:tc>
          <w:tcPr>
            <w:tcW w:w="6277" w:type="dxa"/>
            <w:shd w:val="clear" w:color="auto" w:fill="auto"/>
          </w:tcPr>
          <w:p w14:paraId="02D00E53" w14:textId="50DEAAEA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11" w:type="dxa"/>
            <w:shd w:val="clear" w:color="auto" w:fill="auto"/>
          </w:tcPr>
          <w:p w14:paraId="02C242A0" w14:textId="55FD367A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91.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14:paraId="718297A4" w14:textId="4032F21C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4398" w:rsidRPr="00D65CC9" w14:paraId="3E6F15C4" w14:textId="77777777" w:rsidTr="008453DF">
        <w:tc>
          <w:tcPr>
            <w:tcW w:w="6277" w:type="dxa"/>
            <w:shd w:val="clear" w:color="auto" w:fill="auto"/>
          </w:tcPr>
          <w:p w14:paraId="3BE90685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75ABE1FF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5E09F0FE" w14:textId="7D7EF87B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5639801F" w14:textId="77777777" w:rsidTr="008453DF">
        <w:tc>
          <w:tcPr>
            <w:tcW w:w="6277" w:type="dxa"/>
            <w:shd w:val="clear" w:color="auto" w:fill="auto"/>
          </w:tcPr>
          <w:p w14:paraId="46A2E3B5" w14:textId="7A0EA590" w:rsidR="00154398" w:rsidRPr="00154398" w:rsidRDefault="00726069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Possession of a telepho</w:t>
            </w:r>
            <w:r w:rsidR="00A645F0">
              <w:rPr>
                <w:rFonts w:ascii="Times New Roman" w:eastAsia="Times New Roman" w:hAnsi="Times New Roman" w:cs="Times New Roman"/>
                <w:b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(including mobile pho</w:t>
            </w:r>
            <w:r w:rsidR="0048631A">
              <w:rPr>
                <w:rFonts w:ascii="Times New Roman" w:eastAsia="Times New Roman" w:hAnsi="Times New Roman" w:cs="Times New Roman"/>
                <w:b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%)</w:t>
            </w:r>
          </w:p>
        </w:tc>
        <w:tc>
          <w:tcPr>
            <w:tcW w:w="1611" w:type="dxa"/>
            <w:shd w:val="clear" w:color="auto" w:fill="auto"/>
          </w:tcPr>
          <w:p w14:paraId="720678FB" w14:textId="7863A24A" w:rsidR="00154398" w:rsidRPr="00154398" w:rsidRDefault="00AE3EFA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7D5C3A67" w14:textId="340F05D7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128F5713" w14:textId="77777777" w:rsidTr="008453DF">
        <w:tc>
          <w:tcPr>
            <w:tcW w:w="6277" w:type="dxa"/>
            <w:shd w:val="clear" w:color="auto" w:fill="auto"/>
          </w:tcPr>
          <w:p w14:paraId="76F50518" w14:textId="2C9D9612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30D14FC6" w14:textId="561E13E8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93.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68EE21B0" w14:textId="6C7492B2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4398" w:rsidRPr="00D65CC9" w14:paraId="7374B032" w14:textId="77777777" w:rsidTr="008453DF">
        <w:tc>
          <w:tcPr>
            <w:tcW w:w="6277" w:type="dxa"/>
            <w:shd w:val="clear" w:color="auto" w:fill="auto"/>
          </w:tcPr>
          <w:p w14:paraId="200C2A3A" w14:textId="2C612D54" w:rsidR="00154398" w:rsidRPr="00154398" w:rsidRDefault="00A645F0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726069">
              <w:rPr>
                <w:rFonts w:ascii="Times New Roman" w:eastAsia="Times New Roman" w:hAnsi="Times New Roman" w:cs="Times New Roman"/>
              </w:rPr>
              <w:t>can’t afford</w:t>
            </w:r>
          </w:p>
        </w:tc>
        <w:tc>
          <w:tcPr>
            <w:tcW w:w="1611" w:type="dxa"/>
            <w:shd w:val="clear" w:color="auto" w:fill="auto"/>
          </w:tcPr>
          <w:p w14:paraId="0DBCC100" w14:textId="0CA0BA7D" w:rsidR="00154398" w:rsidRPr="00154398" w:rsidRDefault="00AE3EFA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1D44CCE2" w14:textId="7CD8895C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4398" w:rsidRPr="00D65CC9" w14:paraId="07306C56" w14:textId="77777777" w:rsidTr="008453DF">
        <w:tc>
          <w:tcPr>
            <w:tcW w:w="6277" w:type="dxa"/>
            <w:shd w:val="clear" w:color="auto" w:fill="auto"/>
          </w:tcPr>
          <w:p w14:paraId="5E9873E9" w14:textId="5FC324AA" w:rsidR="00154398" w:rsidRPr="00154398" w:rsidRDefault="00A645F0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726069">
              <w:rPr>
                <w:rFonts w:ascii="Times New Roman" w:eastAsia="Times New Roman" w:hAnsi="Times New Roman" w:cs="Times New Roman"/>
              </w:rPr>
              <w:t>other reason</w:t>
            </w:r>
          </w:p>
        </w:tc>
        <w:tc>
          <w:tcPr>
            <w:tcW w:w="1611" w:type="dxa"/>
            <w:shd w:val="clear" w:color="auto" w:fill="auto"/>
          </w:tcPr>
          <w:p w14:paraId="19A39454" w14:textId="1EAD7968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740" w:type="dxa"/>
            <w:shd w:val="clear" w:color="auto" w:fill="auto"/>
          </w:tcPr>
          <w:p w14:paraId="337E1676" w14:textId="0984EEF0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4398" w:rsidRPr="00D65CC9" w14:paraId="111CF996" w14:textId="77777777" w:rsidTr="008453DF">
        <w:tc>
          <w:tcPr>
            <w:tcW w:w="6277" w:type="dxa"/>
            <w:shd w:val="clear" w:color="auto" w:fill="auto"/>
          </w:tcPr>
          <w:p w14:paraId="67B8CCF2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379B5879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110</w:t>
            </w:r>
          </w:p>
        </w:tc>
        <w:tc>
          <w:tcPr>
            <w:tcW w:w="1740" w:type="dxa"/>
            <w:shd w:val="clear" w:color="auto" w:fill="auto"/>
          </w:tcPr>
          <w:p w14:paraId="5D9DFDC3" w14:textId="4BCF362B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25693B6C" w14:textId="77777777" w:rsidTr="008453DF">
        <w:tc>
          <w:tcPr>
            <w:tcW w:w="6277" w:type="dxa"/>
            <w:shd w:val="clear" w:color="auto" w:fill="auto"/>
          </w:tcPr>
          <w:p w14:paraId="1F9F9782" w14:textId="0C0668FA" w:rsidR="00154398" w:rsidRPr="00154398" w:rsidRDefault="00726069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Possession of a colour TV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4884098D" w14:textId="73F047A4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0C6F5053" w14:textId="79F65B0E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0CF4BA85" w14:textId="77777777" w:rsidTr="008453DF">
        <w:tc>
          <w:tcPr>
            <w:tcW w:w="6277" w:type="dxa"/>
            <w:shd w:val="clear" w:color="auto" w:fill="auto"/>
          </w:tcPr>
          <w:p w14:paraId="51196BB6" w14:textId="036D31AE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5745F7E9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90</w:t>
            </w:r>
          </w:p>
        </w:tc>
        <w:tc>
          <w:tcPr>
            <w:tcW w:w="1740" w:type="dxa"/>
            <w:shd w:val="clear" w:color="auto" w:fill="auto"/>
          </w:tcPr>
          <w:p w14:paraId="32449AD5" w14:textId="18596AF9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4398" w:rsidRPr="00D65CC9" w14:paraId="107A6FA8" w14:textId="77777777" w:rsidTr="008453DF">
        <w:tc>
          <w:tcPr>
            <w:tcW w:w="6277" w:type="dxa"/>
            <w:shd w:val="clear" w:color="auto" w:fill="auto"/>
          </w:tcPr>
          <w:p w14:paraId="23A42B54" w14:textId="49ED3F0F" w:rsidR="00154398" w:rsidRPr="00154398" w:rsidRDefault="00A645F0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726069">
              <w:rPr>
                <w:rFonts w:ascii="Times New Roman" w:eastAsia="Times New Roman" w:hAnsi="Times New Roman" w:cs="Times New Roman"/>
              </w:rPr>
              <w:t>can’t afford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14:paraId="6C1EF308" w14:textId="1B6AE5B9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14:paraId="7A5E589D" w14:textId="2323D264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4398" w:rsidRPr="00D65CC9" w14:paraId="3C450DF3" w14:textId="77777777" w:rsidTr="008453DF">
        <w:tc>
          <w:tcPr>
            <w:tcW w:w="6277" w:type="dxa"/>
            <w:shd w:val="clear" w:color="auto" w:fill="auto"/>
          </w:tcPr>
          <w:p w14:paraId="441A33CF" w14:textId="61B46D50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726069">
              <w:rPr>
                <w:rFonts w:ascii="Times New Roman" w:eastAsia="Times New Roman" w:hAnsi="Times New Roman" w:cs="Times New Roman"/>
              </w:rPr>
              <w:t>, other reason</w:t>
            </w:r>
          </w:p>
        </w:tc>
        <w:tc>
          <w:tcPr>
            <w:tcW w:w="1611" w:type="dxa"/>
            <w:shd w:val="clear" w:color="auto" w:fill="auto"/>
          </w:tcPr>
          <w:p w14:paraId="3C425362" w14:textId="46F9B514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740" w:type="dxa"/>
            <w:shd w:val="clear" w:color="auto" w:fill="auto"/>
          </w:tcPr>
          <w:p w14:paraId="57859F81" w14:textId="4A2CC52D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4398" w:rsidRPr="00D65CC9" w14:paraId="453A38C3" w14:textId="77777777" w:rsidTr="008453DF">
        <w:tc>
          <w:tcPr>
            <w:tcW w:w="6277" w:type="dxa"/>
            <w:shd w:val="clear" w:color="auto" w:fill="auto"/>
          </w:tcPr>
          <w:p w14:paraId="4035074F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4D6627FB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6318B08F" w14:textId="32952E48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35B91069" w14:textId="77777777" w:rsidTr="008453DF">
        <w:tc>
          <w:tcPr>
            <w:tcW w:w="6277" w:type="dxa"/>
            <w:shd w:val="clear" w:color="auto" w:fill="auto"/>
          </w:tcPr>
          <w:p w14:paraId="65A0705F" w14:textId="2A7E01A6" w:rsidR="00154398" w:rsidRPr="00154398" w:rsidRDefault="00726069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Possession of a computer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5703DD0E" w14:textId="6D2F5902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4A44352E" w14:textId="7D9C5FBA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2EABF5E9" w14:textId="77777777" w:rsidTr="008453DF">
        <w:tc>
          <w:tcPr>
            <w:tcW w:w="6277" w:type="dxa"/>
            <w:shd w:val="clear" w:color="auto" w:fill="auto"/>
          </w:tcPr>
          <w:p w14:paraId="17B758CD" w14:textId="157B64C5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6FD65CFA" w14:textId="6C1A3410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32.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14:paraId="0DB9DEFB" w14:textId="21DE7421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54398" w:rsidRPr="00D65CC9" w14:paraId="2A4E4422" w14:textId="77777777" w:rsidTr="008453DF">
        <w:tc>
          <w:tcPr>
            <w:tcW w:w="6277" w:type="dxa"/>
            <w:shd w:val="clear" w:color="auto" w:fill="auto"/>
          </w:tcPr>
          <w:p w14:paraId="1605C45D" w14:textId="60F38466" w:rsidR="00154398" w:rsidRPr="00154398" w:rsidRDefault="00A645F0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726069">
              <w:rPr>
                <w:rFonts w:ascii="Times New Roman" w:eastAsia="Times New Roman" w:hAnsi="Times New Roman" w:cs="Times New Roman"/>
              </w:rPr>
              <w:t>can’t afford</w:t>
            </w:r>
          </w:p>
        </w:tc>
        <w:tc>
          <w:tcPr>
            <w:tcW w:w="1611" w:type="dxa"/>
            <w:shd w:val="clear" w:color="auto" w:fill="auto"/>
          </w:tcPr>
          <w:p w14:paraId="764AD9A8" w14:textId="394280EE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60.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14:paraId="308CF2E0" w14:textId="706673F9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4398" w:rsidRPr="00D65CC9" w14:paraId="31B13178" w14:textId="77777777" w:rsidTr="008453DF">
        <w:tc>
          <w:tcPr>
            <w:tcW w:w="6277" w:type="dxa"/>
            <w:shd w:val="clear" w:color="auto" w:fill="auto"/>
          </w:tcPr>
          <w:p w14:paraId="17988E24" w14:textId="07EE8047" w:rsidR="00154398" w:rsidRPr="00154398" w:rsidRDefault="00A645F0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726069">
              <w:rPr>
                <w:rFonts w:ascii="Times New Roman" w:eastAsia="Times New Roman" w:hAnsi="Times New Roman" w:cs="Times New Roman"/>
              </w:rPr>
              <w:t>other reason</w:t>
            </w:r>
          </w:p>
        </w:tc>
        <w:tc>
          <w:tcPr>
            <w:tcW w:w="1611" w:type="dxa"/>
            <w:shd w:val="clear" w:color="auto" w:fill="auto"/>
          </w:tcPr>
          <w:p w14:paraId="5291C0FC" w14:textId="3DD2E676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3CA56F72" w14:textId="2550F862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4398" w:rsidRPr="00D65CC9" w14:paraId="3799FA0E" w14:textId="77777777" w:rsidTr="008453DF">
        <w:tc>
          <w:tcPr>
            <w:tcW w:w="6277" w:type="dxa"/>
            <w:shd w:val="clear" w:color="auto" w:fill="auto"/>
          </w:tcPr>
          <w:p w14:paraId="75C3A640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6DCDE766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107</w:t>
            </w:r>
          </w:p>
        </w:tc>
        <w:tc>
          <w:tcPr>
            <w:tcW w:w="1740" w:type="dxa"/>
            <w:shd w:val="clear" w:color="auto" w:fill="auto"/>
          </w:tcPr>
          <w:p w14:paraId="0F332187" w14:textId="2E5596E1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23C34EDF" w14:textId="77777777" w:rsidTr="008453DF">
        <w:tc>
          <w:tcPr>
            <w:tcW w:w="6277" w:type="dxa"/>
            <w:shd w:val="clear" w:color="auto" w:fill="auto"/>
          </w:tcPr>
          <w:p w14:paraId="291AC5E7" w14:textId="6F0834CC" w:rsidR="00154398" w:rsidRPr="00154398" w:rsidRDefault="00726069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Possession of a washing machi</w:t>
            </w:r>
            <w:r w:rsidR="0048631A">
              <w:rPr>
                <w:rFonts w:ascii="Times New Roman" w:eastAsia="Times New Roman" w:hAnsi="Times New Roman" w:cs="Times New Roman"/>
                <w:b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0326E818" w14:textId="7D9DE46D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06A2848A" w14:textId="5B5BBD8D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6916B145" w14:textId="77777777" w:rsidTr="008453DF">
        <w:tc>
          <w:tcPr>
            <w:tcW w:w="6277" w:type="dxa"/>
            <w:shd w:val="clear" w:color="auto" w:fill="auto"/>
          </w:tcPr>
          <w:p w14:paraId="16B575FB" w14:textId="510F2AFA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4A7BD285" w14:textId="57E7B780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59.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0B482095" w14:textId="5AC76903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4398" w:rsidRPr="00D65CC9" w14:paraId="292F07D8" w14:textId="77777777" w:rsidTr="008453DF">
        <w:tc>
          <w:tcPr>
            <w:tcW w:w="6277" w:type="dxa"/>
            <w:shd w:val="clear" w:color="auto" w:fill="auto"/>
          </w:tcPr>
          <w:p w14:paraId="269B864D" w14:textId="2EF8CFD7" w:rsidR="00154398" w:rsidRPr="00154398" w:rsidRDefault="00A645F0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726069">
              <w:rPr>
                <w:rFonts w:ascii="Times New Roman" w:eastAsia="Times New Roman" w:hAnsi="Times New Roman" w:cs="Times New Roman"/>
              </w:rPr>
              <w:t>can’t afford</w:t>
            </w:r>
          </w:p>
        </w:tc>
        <w:tc>
          <w:tcPr>
            <w:tcW w:w="1611" w:type="dxa"/>
            <w:shd w:val="clear" w:color="auto" w:fill="auto"/>
          </w:tcPr>
          <w:p w14:paraId="377BF078" w14:textId="57A00AA5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38.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28C503C9" w14:textId="403AF3EC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7367C0E6" w14:textId="77777777" w:rsidTr="008453DF">
        <w:tc>
          <w:tcPr>
            <w:tcW w:w="6277" w:type="dxa"/>
            <w:shd w:val="clear" w:color="auto" w:fill="auto"/>
          </w:tcPr>
          <w:p w14:paraId="0C4CAA6F" w14:textId="2A4477A1" w:rsidR="00154398" w:rsidRPr="00154398" w:rsidRDefault="00A645F0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726069">
              <w:rPr>
                <w:rFonts w:ascii="Times New Roman" w:eastAsia="Times New Roman" w:hAnsi="Times New Roman" w:cs="Times New Roman"/>
              </w:rPr>
              <w:t>other reason</w:t>
            </w:r>
          </w:p>
        </w:tc>
        <w:tc>
          <w:tcPr>
            <w:tcW w:w="1611" w:type="dxa"/>
            <w:shd w:val="clear" w:color="auto" w:fill="auto"/>
          </w:tcPr>
          <w:p w14:paraId="74332A4E" w14:textId="796D2021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14:paraId="69EAE533" w14:textId="66A2C680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4398" w:rsidRPr="00D65CC9" w14:paraId="095108BC" w14:textId="77777777" w:rsidTr="008453DF">
        <w:tc>
          <w:tcPr>
            <w:tcW w:w="6277" w:type="dxa"/>
            <w:shd w:val="clear" w:color="auto" w:fill="auto"/>
          </w:tcPr>
          <w:p w14:paraId="6E601C8E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78346E17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0E7067F6" w14:textId="0DA60C85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6BD68582" w14:textId="77777777" w:rsidTr="008453DF">
        <w:tc>
          <w:tcPr>
            <w:tcW w:w="6277" w:type="dxa"/>
            <w:shd w:val="clear" w:color="auto" w:fill="auto"/>
          </w:tcPr>
          <w:p w14:paraId="04C8C8E7" w14:textId="320D190F" w:rsidR="00154398" w:rsidRPr="00154398" w:rsidRDefault="00726069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Possession of a car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25CFE6AA" w14:textId="1B228D3A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33D0C9B2" w14:textId="227FEF74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0F86A047" w14:textId="77777777" w:rsidTr="008453DF">
        <w:tc>
          <w:tcPr>
            <w:tcW w:w="6277" w:type="dxa"/>
            <w:shd w:val="clear" w:color="auto" w:fill="auto"/>
          </w:tcPr>
          <w:p w14:paraId="1FCCAFE2" w14:textId="22B85DBD" w:rsidR="00154398" w:rsidRPr="00154398" w:rsidRDefault="00A645F0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11" w:type="dxa"/>
            <w:shd w:val="clear" w:color="auto" w:fill="auto"/>
          </w:tcPr>
          <w:p w14:paraId="0A843B0F" w14:textId="62742C4E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14:paraId="0DDA6CA5" w14:textId="1354A1D2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4398" w:rsidRPr="00D65CC9" w14:paraId="3DA80909" w14:textId="77777777" w:rsidTr="008453DF">
        <w:tc>
          <w:tcPr>
            <w:tcW w:w="6277" w:type="dxa"/>
            <w:shd w:val="clear" w:color="auto" w:fill="auto"/>
          </w:tcPr>
          <w:p w14:paraId="3ABF8F52" w14:textId="74D41C24" w:rsidR="00154398" w:rsidRPr="00154398" w:rsidRDefault="00A645F0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726069">
              <w:rPr>
                <w:rFonts w:ascii="Times New Roman" w:eastAsia="Times New Roman" w:hAnsi="Times New Roman" w:cs="Times New Roman"/>
              </w:rPr>
              <w:t>can’t afford</w:t>
            </w:r>
          </w:p>
        </w:tc>
        <w:tc>
          <w:tcPr>
            <w:tcW w:w="1611" w:type="dxa"/>
            <w:shd w:val="clear" w:color="auto" w:fill="auto"/>
          </w:tcPr>
          <w:p w14:paraId="61EA1A39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67</w:t>
            </w:r>
          </w:p>
        </w:tc>
        <w:tc>
          <w:tcPr>
            <w:tcW w:w="1740" w:type="dxa"/>
            <w:shd w:val="clear" w:color="auto" w:fill="auto"/>
          </w:tcPr>
          <w:p w14:paraId="6CFCE9F3" w14:textId="534871F2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54398" w:rsidRPr="00D65CC9" w14:paraId="12E76597" w14:textId="77777777" w:rsidTr="008453DF">
        <w:tc>
          <w:tcPr>
            <w:tcW w:w="6277" w:type="dxa"/>
            <w:shd w:val="clear" w:color="auto" w:fill="auto"/>
          </w:tcPr>
          <w:p w14:paraId="726F7E8D" w14:textId="5F06766D" w:rsidR="00154398" w:rsidRPr="00154398" w:rsidRDefault="00A645F0" w:rsidP="0072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, </w:t>
            </w:r>
            <w:r w:rsidR="00726069">
              <w:rPr>
                <w:rFonts w:ascii="Times New Roman" w:eastAsia="Times New Roman" w:hAnsi="Times New Roman" w:cs="Times New Roman"/>
              </w:rPr>
              <w:t>other reason</w:t>
            </w:r>
          </w:p>
        </w:tc>
        <w:tc>
          <w:tcPr>
            <w:tcW w:w="1611" w:type="dxa"/>
            <w:shd w:val="clear" w:color="auto" w:fill="auto"/>
          </w:tcPr>
          <w:p w14:paraId="3A56D0B9" w14:textId="7E0F53CD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14:paraId="2F921975" w14:textId="785FF475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4398" w:rsidRPr="00D65CC9" w14:paraId="6469C316" w14:textId="77777777" w:rsidTr="008453DF">
        <w:tc>
          <w:tcPr>
            <w:tcW w:w="6277" w:type="dxa"/>
            <w:shd w:val="clear" w:color="auto" w:fill="auto"/>
          </w:tcPr>
          <w:p w14:paraId="5230FB4A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3C2530E2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79D11043" w14:textId="14322CC9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3C7EF517" w14:textId="77777777" w:rsidTr="008453DF">
        <w:tc>
          <w:tcPr>
            <w:tcW w:w="6277" w:type="dxa"/>
            <w:shd w:val="clear" w:color="auto" w:fill="auto"/>
          </w:tcPr>
          <w:p w14:paraId="486E20CC" w14:textId="7F601CF2" w:rsidR="00154398" w:rsidRPr="00154398" w:rsidRDefault="00A645F0" w:rsidP="0053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Household-related payments (utility bills, rent, mortgage, interest, insurance) </w:t>
            </w:r>
            <w:r w:rsidR="00536191">
              <w:rPr>
                <w:rFonts w:ascii="Times New Roman" w:eastAsia="Times New Roman" w:hAnsi="Times New Roman" w:cs="Times New Roman"/>
                <w:b/>
              </w:rPr>
              <w:t>are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43ED0AF9" w14:textId="2BCAC280" w:rsidR="00154398" w:rsidRPr="00154398" w:rsidRDefault="00D25DB9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77CADCA1" w14:textId="4C7C68DD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00E5A0B7" w14:textId="77777777" w:rsidTr="008453DF">
        <w:tc>
          <w:tcPr>
            <w:tcW w:w="6277" w:type="dxa"/>
            <w:shd w:val="clear" w:color="auto" w:fill="auto"/>
          </w:tcPr>
          <w:p w14:paraId="6D8D3CB5" w14:textId="04DE37AD" w:rsidR="00154398" w:rsidRPr="00154398" w:rsidRDefault="00A645F0" w:rsidP="000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0116C7">
              <w:rPr>
                <w:rFonts w:ascii="Times New Roman" w:eastAsia="Times New Roman" w:hAnsi="Times New Roman" w:cs="Times New Roman"/>
              </w:rPr>
              <w:t xml:space="preserve"> heavy</w:t>
            </w:r>
            <w:r w:rsidR="00536191">
              <w:rPr>
                <w:rFonts w:ascii="Times New Roman" w:eastAsia="Times New Roman" w:hAnsi="Times New Roman" w:cs="Times New Roman"/>
              </w:rPr>
              <w:t xml:space="preserve"> financial burden </w:t>
            </w:r>
          </w:p>
        </w:tc>
        <w:tc>
          <w:tcPr>
            <w:tcW w:w="1611" w:type="dxa"/>
            <w:shd w:val="clear" w:color="auto" w:fill="auto"/>
          </w:tcPr>
          <w:p w14:paraId="5E5EE549" w14:textId="04C9DE47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48.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798F1355" w14:textId="0E8CB1E2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23FF89CD" w14:textId="77777777" w:rsidTr="008453DF">
        <w:tc>
          <w:tcPr>
            <w:tcW w:w="6277" w:type="dxa"/>
            <w:shd w:val="clear" w:color="auto" w:fill="auto"/>
          </w:tcPr>
          <w:p w14:paraId="04533146" w14:textId="4F5AE2E1" w:rsidR="00154398" w:rsidRPr="00154398" w:rsidRDefault="000116C7" w:rsidP="000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small</w:t>
            </w:r>
            <w:r w:rsidR="00536191">
              <w:rPr>
                <w:rFonts w:ascii="Times New Roman" w:eastAsia="Times New Roman" w:hAnsi="Times New Roman" w:cs="Times New Roman"/>
              </w:rPr>
              <w:t xml:space="preserve"> financial burden </w:t>
            </w:r>
          </w:p>
        </w:tc>
        <w:tc>
          <w:tcPr>
            <w:tcW w:w="1611" w:type="dxa"/>
            <w:shd w:val="clear" w:color="auto" w:fill="auto"/>
          </w:tcPr>
          <w:p w14:paraId="06960507" w14:textId="571D6F05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740" w:type="dxa"/>
            <w:shd w:val="clear" w:color="auto" w:fill="auto"/>
          </w:tcPr>
          <w:p w14:paraId="444B9E2A" w14:textId="3D0878D6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2200218C" w14:textId="77777777" w:rsidTr="008453DF">
        <w:tc>
          <w:tcPr>
            <w:tcW w:w="6277" w:type="dxa"/>
            <w:shd w:val="clear" w:color="auto" w:fill="auto"/>
          </w:tcPr>
          <w:p w14:paraId="1D564C00" w14:textId="328A8EC7" w:rsidR="00154398" w:rsidRPr="00154398" w:rsidRDefault="00154398" w:rsidP="00FE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  <w:r w:rsidR="00FE40F5">
              <w:rPr>
                <w:rFonts w:ascii="Times New Roman" w:eastAsia="Times New Roman" w:hAnsi="Times New Roman" w:cs="Times New Roman"/>
              </w:rPr>
              <w:t xml:space="preserve">ot a burden </w:t>
            </w:r>
          </w:p>
        </w:tc>
        <w:tc>
          <w:tcPr>
            <w:tcW w:w="1611" w:type="dxa"/>
            <w:shd w:val="clear" w:color="auto" w:fill="auto"/>
          </w:tcPr>
          <w:p w14:paraId="12AE5D44" w14:textId="6A11AA34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463CB532" w14:textId="5A2A3613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4398" w:rsidRPr="00D65CC9" w14:paraId="18BAE774" w14:textId="77777777" w:rsidTr="008453DF">
        <w:tc>
          <w:tcPr>
            <w:tcW w:w="6277" w:type="dxa"/>
            <w:shd w:val="clear" w:color="auto" w:fill="auto"/>
          </w:tcPr>
          <w:p w14:paraId="7A13BE4A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62781331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107</w:t>
            </w:r>
          </w:p>
        </w:tc>
        <w:tc>
          <w:tcPr>
            <w:tcW w:w="1740" w:type="dxa"/>
            <w:shd w:val="clear" w:color="auto" w:fill="auto"/>
          </w:tcPr>
          <w:p w14:paraId="338537D0" w14:textId="2069602E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A645F0" w14:paraId="5750EDE9" w14:textId="77777777" w:rsidTr="008453DF">
        <w:tc>
          <w:tcPr>
            <w:tcW w:w="6277" w:type="dxa"/>
            <w:shd w:val="clear" w:color="auto" w:fill="auto"/>
          </w:tcPr>
          <w:p w14:paraId="554E0C28" w14:textId="2A261BCC" w:rsidR="00154398" w:rsidRPr="00154398" w:rsidRDefault="00FE40F5" w:rsidP="0053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Repayment of mortgage or credit </w:t>
            </w:r>
            <w:r w:rsidR="00536191">
              <w:rPr>
                <w:rFonts w:ascii="Times New Roman" w:eastAsia="Times New Roman" w:hAnsi="Times New Roman" w:cs="Times New Roman"/>
                <w:b/>
              </w:rPr>
              <w:t>is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154398" w:rsidRPr="00A645F0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2E352B28" w14:textId="634C0D46" w:rsidR="00154398" w:rsidRPr="00154398" w:rsidRDefault="001D7DAF" w:rsidP="001D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48C56217" w14:textId="4DDEE837" w:rsidR="00154398" w:rsidRPr="00A645F0" w:rsidRDefault="001D7DAF" w:rsidP="001D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A645F0"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</w:tr>
      <w:tr w:rsidR="00154398" w:rsidRPr="00D65CC9" w14:paraId="2FF50287" w14:textId="77777777" w:rsidTr="008453DF">
        <w:tc>
          <w:tcPr>
            <w:tcW w:w="6277" w:type="dxa"/>
            <w:shd w:val="clear" w:color="auto" w:fill="auto"/>
          </w:tcPr>
          <w:p w14:paraId="56C3F084" w14:textId="6CFF3973" w:rsidR="00154398" w:rsidRPr="00154398" w:rsidRDefault="00536191" w:rsidP="000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 w:rsidR="000116C7">
              <w:rPr>
                <w:rFonts w:ascii="Times New Roman" w:eastAsia="Times New Roman" w:hAnsi="Times New Roman" w:cs="Times New Roman"/>
              </w:rPr>
              <w:t>heavy</w:t>
            </w:r>
            <w:r>
              <w:rPr>
                <w:rFonts w:ascii="Times New Roman" w:eastAsia="Times New Roman" w:hAnsi="Times New Roman" w:cs="Times New Roman"/>
              </w:rPr>
              <w:t xml:space="preserve"> financial burden </w:t>
            </w:r>
          </w:p>
        </w:tc>
        <w:tc>
          <w:tcPr>
            <w:tcW w:w="1611" w:type="dxa"/>
            <w:shd w:val="clear" w:color="auto" w:fill="auto"/>
          </w:tcPr>
          <w:p w14:paraId="35EECEDF" w14:textId="2E6E96EC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25830F77" w14:textId="398C6D88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4398" w:rsidRPr="00D65CC9" w14:paraId="7CE82F0B" w14:textId="77777777" w:rsidTr="008453DF">
        <w:tc>
          <w:tcPr>
            <w:tcW w:w="6277" w:type="dxa"/>
            <w:shd w:val="clear" w:color="auto" w:fill="auto"/>
          </w:tcPr>
          <w:p w14:paraId="656EB4A8" w14:textId="762FCF8E" w:rsidR="00154398" w:rsidRPr="00154398" w:rsidRDefault="000116C7" w:rsidP="000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s</w:t>
            </w:r>
            <w:r w:rsidR="005B7FF8">
              <w:rPr>
                <w:rFonts w:ascii="Times New Roman" w:eastAsia="Times New Roman" w:hAnsi="Times New Roman" w:cs="Times New Roman"/>
              </w:rPr>
              <w:t>mall</w:t>
            </w:r>
            <w:r w:rsidR="00536191">
              <w:rPr>
                <w:rFonts w:ascii="Times New Roman" w:eastAsia="Times New Roman" w:hAnsi="Times New Roman" w:cs="Times New Roman"/>
              </w:rPr>
              <w:t xml:space="preserve"> financial burden </w:t>
            </w:r>
          </w:p>
        </w:tc>
        <w:tc>
          <w:tcPr>
            <w:tcW w:w="1611" w:type="dxa"/>
            <w:shd w:val="clear" w:color="auto" w:fill="auto"/>
          </w:tcPr>
          <w:p w14:paraId="63157309" w14:textId="22D66E74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48EB1096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4398" w:rsidRPr="00D65CC9" w14:paraId="4FB9C29F" w14:textId="77777777" w:rsidTr="008453DF">
        <w:tc>
          <w:tcPr>
            <w:tcW w:w="6277" w:type="dxa"/>
            <w:shd w:val="clear" w:color="auto" w:fill="auto"/>
          </w:tcPr>
          <w:p w14:paraId="7261B00E" w14:textId="49383E7C" w:rsidR="00154398" w:rsidRPr="00154398" w:rsidRDefault="00536191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Not a burden</w:t>
            </w:r>
          </w:p>
        </w:tc>
        <w:tc>
          <w:tcPr>
            <w:tcW w:w="1611" w:type="dxa"/>
            <w:shd w:val="clear" w:color="auto" w:fill="auto"/>
          </w:tcPr>
          <w:p w14:paraId="28ABFB0E" w14:textId="2A99BD5A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14:paraId="68CB0633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4398" w:rsidRPr="00D65CC9" w14:paraId="269DB609" w14:textId="77777777" w:rsidTr="008453DF">
        <w:tc>
          <w:tcPr>
            <w:tcW w:w="6277" w:type="dxa"/>
            <w:shd w:val="clear" w:color="auto" w:fill="auto"/>
          </w:tcPr>
          <w:p w14:paraId="246C1D6A" w14:textId="5BE01739" w:rsidR="00154398" w:rsidRPr="00154398" w:rsidRDefault="00536191" w:rsidP="0053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mortgage or credit </w:t>
            </w:r>
          </w:p>
        </w:tc>
        <w:tc>
          <w:tcPr>
            <w:tcW w:w="1611" w:type="dxa"/>
            <w:shd w:val="clear" w:color="auto" w:fill="auto"/>
          </w:tcPr>
          <w:p w14:paraId="62B12234" w14:textId="519E28FC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64.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407A15A8" w14:textId="11F8F9D5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4398" w:rsidRPr="00D65CC9" w14:paraId="4DB4157F" w14:textId="77777777" w:rsidTr="008453DF">
        <w:tc>
          <w:tcPr>
            <w:tcW w:w="6277" w:type="dxa"/>
            <w:shd w:val="clear" w:color="auto" w:fill="auto"/>
          </w:tcPr>
          <w:p w14:paraId="0B5D2F3F" w14:textId="6740BE97" w:rsidR="00154398" w:rsidRPr="00154398" w:rsidRDefault="00536191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10EA2B4D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110</w:t>
            </w:r>
          </w:p>
        </w:tc>
        <w:tc>
          <w:tcPr>
            <w:tcW w:w="1740" w:type="dxa"/>
            <w:shd w:val="clear" w:color="auto" w:fill="auto"/>
          </w:tcPr>
          <w:p w14:paraId="028BF148" w14:textId="179513A2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556323E5" w14:textId="77777777" w:rsidTr="008453DF">
        <w:tc>
          <w:tcPr>
            <w:tcW w:w="6277" w:type="dxa"/>
            <w:shd w:val="clear" w:color="auto" w:fill="auto"/>
          </w:tcPr>
          <w:p w14:paraId="10A987C7" w14:textId="4797519E" w:rsidR="00154398" w:rsidRPr="00154398" w:rsidRDefault="00536191" w:rsidP="00E6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How a household is </w:t>
            </w:r>
            <w:r w:rsidRPr="00E64F09">
              <w:rPr>
                <w:rFonts w:ascii="Times New Roman" w:eastAsia="Times New Roman" w:hAnsi="Times New Roman" w:cs="Times New Roman"/>
                <w:b/>
              </w:rPr>
              <w:t>making ends meet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611" w:type="dxa"/>
            <w:shd w:val="clear" w:color="auto" w:fill="auto"/>
          </w:tcPr>
          <w:p w14:paraId="52CA9138" w14:textId="79F4392D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4031E676" w14:textId="3CA7CC40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6C10BC69" w14:textId="77777777" w:rsidTr="008453DF">
        <w:tc>
          <w:tcPr>
            <w:tcW w:w="6277" w:type="dxa"/>
            <w:shd w:val="clear" w:color="auto" w:fill="auto"/>
          </w:tcPr>
          <w:p w14:paraId="5764D8AA" w14:textId="4F7D8454" w:rsidR="00154398" w:rsidRPr="00154398" w:rsidRDefault="00536191" w:rsidP="0053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great difficulty </w:t>
            </w:r>
          </w:p>
        </w:tc>
        <w:tc>
          <w:tcPr>
            <w:tcW w:w="1611" w:type="dxa"/>
            <w:shd w:val="clear" w:color="auto" w:fill="auto"/>
          </w:tcPr>
          <w:p w14:paraId="52D8CEBE" w14:textId="32DADD9C" w:rsidR="00154398" w:rsidRPr="00154398" w:rsidRDefault="00D25DB9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40" w:type="dxa"/>
            <w:shd w:val="clear" w:color="auto" w:fill="auto"/>
          </w:tcPr>
          <w:p w14:paraId="628038D2" w14:textId="361B9527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4398" w:rsidRPr="00D65CC9" w14:paraId="28DC9475" w14:textId="77777777" w:rsidTr="008453DF">
        <w:tc>
          <w:tcPr>
            <w:tcW w:w="6277" w:type="dxa"/>
            <w:shd w:val="clear" w:color="auto" w:fill="auto"/>
          </w:tcPr>
          <w:p w14:paraId="5918E61A" w14:textId="365E18B2" w:rsidR="00154398" w:rsidRPr="00154398" w:rsidRDefault="00536191" w:rsidP="0053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With difficulty</w:t>
            </w:r>
          </w:p>
        </w:tc>
        <w:tc>
          <w:tcPr>
            <w:tcW w:w="1611" w:type="dxa"/>
            <w:shd w:val="clear" w:color="auto" w:fill="auto"/>
          </w:tcPr>
          <w:p w14:paraId="2B406B42" w14:textId="3B3CC8EA" w:rsidR="00154398" w:rsidRPr="00154398" w:rsidRDefault="00D25DB9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14:paraId="615F8776" w14:textId="39041B62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4398" w:rsidRPr="00D65CC9" w14:paraId="473F2228" w14:textId="77777777" w:rsidTr="008453DF">
        <w:tc>
          <w:tcPr>
            <w:tcW w:w="6277" w:type="dxa"/>
            <w:shd w:val="clear" w:color="auto" w:fill="auto"/>
          </w:tcPr>
          <w:p w14:paraId="31381722" w14:textId="2B993EE9" w:rsidR="00154398" w:rsidRPr="00154398" w:rsidRDefault="00536191" w:rsidP="0053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With some difficulty</w:t>
            </w:r>
          </w:p>
        </w:tc>
        <w:tc>
          <w:tcPr>
            <w:tcW w:w="1611" w:type="dxa"/>
            <w:shd w:val="clear" w:color="auto" w:fill="auto"/>
          </w:tcPr>
          <w:p w14:paraId="4FDC49E5" w14:textId="2F84E51B" w:rsidR="00154398" w:rsidRPr="00154398" w:rsidRDefault="00D25DB9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510BA82A" w14:textId="7D0CA82A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4398" w:rsidRPr="00D65CC9" w14:paraId="75F25B3B" w14:textId="77777777" w:rsidTr="008453DF">
        <w:tc>
          <w:tcPr>
            <w:tcW w:w="6277" w:type="dxa"/>
            <w:shd w:val="clear" w:color="auto" w:fill="auto"/>
          </w:tcPr>
          <w:p w14:paraId="5C0E3CA2" w14:textId="3005C71D" w:rsidR="00154398" w:rsidRPr="00154398" w:rsidRDefault="00536191" w:rsidP="0053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Rather easily </w:t>
            </w:r>
          </w:p>
        </w:tc>
        <w:tc>
          <w:tcPr>
            <w:tcW w:w="1611" w:type="dxa"/>
            <w:shd w:val="clear" w:color="auto" w:fill="auto"/>
          </w:tcPr>
          <w:p w14:paraId="29390678" w14:textId="362BF875" w:rsidR="00154398" w:rsidRPr="00154398" w:rsidRDefault="00D25DB9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0BB9E77D" w14:textId="2E9F1794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4398" w:rsidRPr="00D65CC9" w14:paraId="5A8C0A89" w14:textId="77777777" w:rsidTr="008453DF">
        <w:tc>
          <w:tcPr>
            <w:tcW w:w="6277" w:type="dxa"/>
            <w:shd w:val="clear" w:color="auto" w:fill="auto"/>
          </w:tcPr>
          <w:p w14:paraId="6DA2E8CE" w14:textId="6AD0F05F" w:rsidR="00154398" w:rsidRPr="00154398" w:rsidRDefault="00536191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Easily</w:t>
            </w:r>
          </w:p>
        </w:tc>
        <w:tc>
          <w:tcPr>
            <w:tcW w:w="1611" w:type="dxa"/>
            <w:shd w:val="clear" w:color="auto" w:fill="auto"/>
          </w:tcPr>
          <w:p w14:paraId="1DCA2923" w14:textId="7C114D60" w:rsidR="00154398" w:rsidRPr="00154398" w:rsidRDefault="00D25DB9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40" w:type="dxa"/>
            <w:shd w:val="clear" w:color="auto" w:fill="auto"/>
          </w:tcPr>
          <w:p w14:paraId="6F98F8C2" w14:textId="60EE4FF0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59BEDFDC" w14:textId="77777777" w:rsidTr="008453DF">
        <w:tc>
          <w:tcPr>
            <w:tcW w:w="6277" w:type="dxa"/>
            <w:shd w:val="clear" w:color="auto" w:fill="auto"/>
          </w:tcPr>
          <w:p w14:paraId="497CFE83" w14:textId="299CB3D0" w:rsidR="00154398" w:rsidRPr="00154398" w:rsidRDefault="00536191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Very easily</w:t>
            </w:r>
          </w:p>
        </w:tc>
        <w:tc>
          <w:tcPr>
            <w:tcW w:w="1611" w:type="dxa"/>
            <w:shd w:val="clear" w:color="auto" w:fill="auto"/>
          </w:tcPr>
          <w:p w14:paraId="5B3CD223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14:paraId="47566DCB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54398" w:rsidRPr="00D65CC9" w14:paraId="4F24AE6E" w14:textId="77777777" w:rsidTr="008453DF">
        <w:tc>
          <w:tcPr>
            <w:tcW w:w="6277" w:type="dxa"/>
            <w:shd w:val="clear" w:color="auto" w:fill="auto"/>
          </w:tcPr>
          <w:p w14:paraId="0A9ECFF8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099D16CB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110</w:t>
            </w:r>
          </w:p>
        </w:tc>
        <w:tc>
          <w:tcPr>
            <w:tcW w:w="1740" w:type="dxa"/>
            <w:shd w:val="clear" w:color="auto" w:fill="auto"/>
          </w:tcPr>
          <w:p w14:paraId="6A8017F9" w14:textId="317D8DFE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15349354" w14:textId="77777777" w:rsidTr="008453DF">
        <w:tc>
          <w:tcPr>
            <w:tcW w:w="6277" w:type="dxa"/>
            <w:shd w:val="clear" w:color="auto" w:fill="auto"/>
          </w:tcPr>
          <w:p w14:paraId="4D449F48" w14:textId="1322E5DB" w:rsidR="00154398" w:rsidRPr="00154398" w:rsidRDefault="00C87FEF" w:rsidP="00E6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minimum amount of monthly income required to make </w:t>
            </w:r>
            <w:r w:rsidRPr="00E64F09">
              <w:rPr>
                <w:rFonts w:ascii="Times New Roman" w:eastAsia="Times New Roman" w:hAnsi="Times New Roman" w:cs="Times New Roman"/>
                <w:b/>
              </w:rPr>
              <w:t>ends meet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(EUR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14:paraId="5C9F6785" w14:textId="75381B50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6A533567" w14:textId="7C91FA70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4F1F883A" w14:textId="77777777" w:rsidTr="008453DF">
        <w:tc>
          <w:tcPr>
            <w:tcW w:w="6277" w:type="dxa"/>
            <w:shd w:val="clear" w:color="auto" w:fill="auto"/>
          </w:tcPr>
          <w:p w14:paraId="1D04A801" w14:textId="3F280B36" w:rsidR="00154398" w:rsidRPr="00154398" w:rsidRDefault="00C87FEF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Average</w:t>
            </w:r>
          </w:p>
        </w:tc>
        <w:tc>
          <w:tcPr>
            <w:tcW w:w="1611" w:type="dxa"/>
            <w:shd w:val="clear" w:color="auto" w:fill="auto"/>
          </w:tcPr>
          <w:p w14:paraId="56ADE177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797</w:t>
            </w:r>
          </w:p>
        </w:tc>
        <w:tc>
          <w:tcPr>
            <w:tcW w:w="1740" w:type="dxa"/>
            <w:shd w:val="clear" w:color="auto" w:fill="auto"/>
          </w:tcPr>
          <w:p w14:paraId="67AF676C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656</w:t>
            </w:r>
          </w:p>
        </w:tc>
      </w:tr>
      <w:tr w:rsidR="00154398" w:rsidRPr="00D65CC9" w14:paraId="2B980579" w14:textId="77777777" w:rsidTr="008453DF">
        <w:tc>
          <w:tcPr>
            <w:tcW w:w="6277" w:type="dxa"/>
            <w:shd w:val="clear" w:color="auto" w:fill="auto"/>
          </w:tcPr>
          <w:p w14:paraId="07BA0BCA" w14:textId="6B1D9282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Media</w:t>
            </w:r>
            <w:r w:rsidR="00C87FEF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0762FB62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580</w:t>
            </w:r>
          </w:p>
        </w:tc>
        <w:tc>
          <w:tcPr>
            <w:tcW w:w="1740" w:type="dxa"/>
            <w:shd w:val="clear" w:color="auto" w:fill="auto"/>
          </w:tcPr>
          <w:p w14:paraId="7B529E83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580</w:t>
            </w:r>
          </w:p>
        </w:tc>
      </w:tr>
      <w:tr w:rsidR="00154398" w:rsidRPr="00D65CC9" w14:paraId="7BFB5AFD" w14:textId="77777777" w:rsidTr="008453DF">
        <w:tc>
          <w:tcPr>
            <w:tcW w:w="6277" w:type="dxa"/>
            <w:shd w:val="clear" w:color="auto" w:fill="auto"/>
          </w:tcPr>
          <w:p w14:paraId="0216AC6E" w14:textId="21568AF0" w:rsidR="00154398" w:rsidRPr="00154398" w:rsidRDefault="00C87FEF" w:rsidP="00C8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person (average) </w:t>
            </w:r>
          </w:p>
        </w:tc>
        <w:tc>
          <w:tcPr>
            <w:tcW w:w="1611" w:type="dxa"/>
            <w:shd w:val="clear" w:color="auto" w:fill="auto"/>
          </w:tcPr>
          <w:p w14:paraId="3AE1B7A7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201</w:t>
            </w:r>
          </w:p>
        </w:tc>
        <w:tc>
          <w:tcPr>
            <w:tcW w:w="1740" w:type="dxa"/>
            <w:shd w:val="clear" w:color="auto" w:fill="auto"/>
          </w:tcPr>
          <w:p w14:paraId="004F4449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284</w:t>
            </w:r>
          </w:p>
        </w:tc>
      </w:tr>
      <w:tr w:rsidR="00154398" w:rsidRPr="00D65CC9" w14:paraId="1E42B086" w14:textId="77777777" w:rsidTr="008453DF">
        <w:tc>
          <w:tcPr>
            <w:tcW w:w="6277" w:type="dxa"/>
            <w:shd w:val="clear" w:color="auto" w:fill="auto"/>
          </w:tcPr>
          <w:p w14:paraId="74DE9E22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1B65811B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89</w:t>
            </w:r>
          </w:p>
        </w:tc>
        <w:tc>
          <w:tcPr>
            <w:tcW w:w="1740" w:type="dxa"/>
            <w:shd w:val="clear" w:color="auto" w:fill="auto"/>
          </w:tcPr>
          <w:p w14:paraId="20169AF0" w14:textId="38BD2104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58834C03" w14:textId="77777777" w:rsidTr="008453DF">
        <w:tc>
          <w:tcPr>
            <w:tcW w:w="6277" w:type="dxa"/>
            <w:shd w:val="clear" w:color="auto" w:fill="auto"/>
          </w:tcPr>
          <w:p w14:paraId="7F7AB528" w14:textId="3CD8B2AA" w:rsidR="00154398" w:rsidRPr="00154398" w:rsidRDefault="00C87FEF" w:rsidP="00E6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minimum amount of monthly income required to make </w:t>
            </w:r>
            <w:r w:rsidRPr="00E64F09">
              <w:rPr>
                <w:rFonts w:ascii="Times New Roman" w:eastAsia="Times New Roman" w:hAnsi="Times New Roman" w:cs="Times New Roman"/>
                <w:b/>
              </w:rPr>
              <w:t>ends meet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(EUR) (intervals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) (%)</w:t>
            </w:r>
          </w:p>
        </w:tc>
        <w:tc>
          <w:tcPr>
            <w:tcW w:w="1611" w:type="dxa"/>
            <w:shd w:val="clear" w:color="auto" w:fill="auto"/>
          </w:tcPr>
          <w:p w14:paraId="2184AD61" w14:textId="43AF3346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79FC20CD" w14:textId="73BA6E59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06C7C1FC" w14:textId="77777777" w:rsidTr="008453DF">
        <w:tc>
          <w:tcPr>
            <w:tcW w:w="6277" w:type="dxa"/>
            <w:shd w:val="clear" w:color="auto" w:fill="auto"/>
          </w:tcPr>
          <w:p w14:paraId="4007EC87" w14:textId="70050C4D" w:rsidR="00154398" w:rsidRPr="00154398" w:rsidRDefault="00D721E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 than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 450</w:t>
            </w:r>
          </w:p>
        </w:tc>
        <w:tc>
          <w:tcPr>
            <w:tcW w:w="1611" w:type="dxa"/>
            <w:shd w:val="clear" w:color="auto" w:fill="auto"/>
          </w:tcPr>
          <w:p w14:paraId="0B09BDEE" w14:textId="237D071F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0FC8007F" w14:textId="3930F2B5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4398" w:rsidRPr="00D65CC9" w14:paraId="3368273D" w14:textId="77777777" w:rsidTr="008453DF">
        <w:tc>
          <w:tcPr>
            <w:tcW w:w="6277" w:type="dxa"/>
            <w:shd w:val="clear" w:color="auto" w:fill="auto"/>
          </w:tcPr>
          <w:p w14:paraId="38699CB7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451–800</w:t>
            </w:r>
          </w:p>
        </w:tc>
        <w:tc>
          <w:tcPr>
            <w:tcW w:w="1611" w:type="dxa"/>
            <w:shd w:val="clear" w:color="auto" w:fill="auto"/>
          </w:tcPr>
          <w:p w14:paraId="46ADECDA" w14:textId="695FA9DF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44.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740" w:type="dxa"/>
            <w:shd w:val="clear" w:color="auto" w:fill="auto"/>
          </w:tcPr>
          <w:p w14:paraId="19642EE8" w14:textId="7C67160A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0B6186FB" w14:textId="77777777" w:rsidTr="008453DF">
        <w:tc>
          <w:tcPr>
            <w:tcW w:w="6277" w:type="dxa"/>
            <w:shd w:val="clear" w:color="auto" w:fill="auto"/>
          </w:tcPr>
          <w:p w14:paraId="3DB62866" w14:textId="5B276BC5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801–1</w:t>
            </w:r>
            <w:r w:rsidR="00370A34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11" w:type="dxa"/>
            <w:shd w:val="clear" w:color="auto" w:fill="auto"/>
          </w:tcPr>
          <w:p w14:paraId="1038B7B6" w14:textId="4EC0A1AA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14:paraId="6AEC6EBF" w14:textId="469F01E7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4398" w:rsidRPr="00D65CC9" w14:paraId="480B2305" w14:textId="77777777" w:rsidTr="008453DF">
        <w:tc>
          <w:tcPr>
            <w:tcW w:w="6277" w:type="dxa"/>
            <w:shd w:val="clear" w:color="auto" w:fill="auto"/>
          </w:tcPr>
          <w:p w14:paraId="37840CBF" w14:textId="35B681DD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1</w:t>
            </w:r>
            <w:r w:rsidR="00E64F09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001–1</w:t>
            </w:r>
            <w:r w:rsidR="00370A34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11" w:type="dxa"/>
            <w:shd w:val="clear" w:color="auto" w:fill="auto"/>
          </w:tcPr>
          <w:p w14:paraId="5FE9D2C0" w14:textId="54DEDF59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28470803" w14:textId="1D17031B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4398" w:rsidRPr="00D65CC9" w14:paraId="2862F58E" w14:textId="77777777" w:rsidTr="008453DF">
        <w:tc>
          <w:tcPr>
            <w:tcW w:w="6277" w:type="dxa"/>
            <w:shd w:val="clear" w:color="auto" w:fill="auto"/>
          </w:tcPr>
          <w:p w14:paraId="6E4B5F0A" w14:textId="71D8AF70" w:rsidR="00154398" w:rsidRPr="00154398" w:rsidRDefault="00D721ED" w:rsidP="00D7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More than</w:t>
            </w:r>
            <w:r w:rsidR="00154398" w:rsidRPr="00154398">
              <w:rPr>
                <w:rFonts w:ascii="Times New Roman" w:eastAsia="Times New Roman" w:hAnsi="Times New Roman" w:cs="Times New Roman"/>
              </w:rPr>
              <w:t xml:space="preserve"> 1</w:t>
            </w:r>
            <w:r w:rsidR="00E64F09">
              <w:rPr>
                <w:rFonts w:ascii="Times New Roman" w:eastAsia="Times New Roman" w:hAnsi="Times New Roman" w:cs="Times New Roman"/>
              </w:rPr>
              <w:t>,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11" w:type="dxa"/>
            <w:shd w:val="clear" w:color="auto" w:fill="auto"/>
          </w:tcPr>
          <w:p w14:paraId="5C89F5DF" w14:textId="640C5F87" w:rsidR="00154398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10.</w:t>
            </w:r>
            <w:r w:rsidR="00154398" w:rsidRPr="0015439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14:paraId="33AA53F0" w14:textId="02672B4D" w:rsidR="00154398" w:rsidRPr="00154398" w:rsidRDefault="00B019C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4398" w:rsidRPr="00D65CC9" w14:paraId="3C8FDA3D" w14:textId="77777777" w:rsidTr="008453DF">
        <w:tc>
          <w:tcPr>
            <w:tcW w:w="6277" w:type="dxa"/>
            <w:shd w:val="clear" w:color="auto" w:fill="auto"/>
          </w:tcPr>
          <w:p w14:paraId="77731A7B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15CBCEFB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auto"/>
          </w:tcPr>
          <w:p w14:paraId="46D0350C" w14:textId="4AF4DE79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B019C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4398" w:rsidRPr="00D65CC9" w14:paraId="45040980" w14:textId="77777777" w:rsidTr="008453DF">
        <w:trPr>
          <w:trHeight w:val="98"/>
        </w:trPr>
        <w:tc>
          <w:tcPr>
            <w:tcW w:w="6277" w:type="dxa"/>
            <w:shd w:val="clear" w:color="auto" w:fill="auto"/>
          </w:tcPr>
          <w:p w14:paraId="75B41792" w14:textId="1A9D1612" w:rsidR="00154398" w:rsidRPr="00154398" w:rsidRDefault="00D721ED" w:rsidP="008E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Disposable monthly income of a household 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(</w:t>
            </w:r>
            <w:r w:rsidR="008E5FED">
              <w:rPr>
                <w:rFonts w:ascii="Times New Roman" w:eastAsia="Times New Roman" w:hAnsi="Times New Roman" w:cs="Times New Roman"/>
              </w:rPr>
              <w:t>EUR</w:t>
            </w:r>
            <w:r w:rsidR="00154398" w:rsidRPr="001543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14:paraId="18F92BD6" w14:textId="39B32FC1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154398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2A136485" w14:textId="6D216B8E" w:rsidR="00154398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54398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154398" w:rsidRPr="00D65CC9" w14:paraId="0691E87A" w14:textId="77777777" w:rsidTr="008453DF">
        <w:tc>
          <w:tcPr>
            <w:tcW w:w="6277" w:type="dxa"/>
            <w:shd w:val="clear" w:color="auto" w:fill="auto"/>
          </w:tcPr>
          <w:p w14:paraId="46ED3C68" w14:textId="40AEF101" w:rsidR="00154398" w:rsidRPr="00154398" w:rsidRDefault="00A411FF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Average</w:t>
            </w:r>
          </w:p>
        </w:tc>
        <w:tc>
          <w:tcPr>
            <w:tcW w:w="1611" w:type="dxa"/>
            <w:shd w:val="clear" w:color="auto" w:fill="auto"/>
          </w:tcPr>
          <w:p w14:paraId="16333182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313</w:t>
            </w:r>
          </w:p>
        </w:tc>
        <w:tc>
          <w:tcPr>
            <w:tcW w:w="1740" w:type="dxa"/>
            <w:shd w:val="clear" w:color="auto" w:fill="auto"/>
          </w:tcPr>
          <w:p w14:paraId="44FF05E4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854</w:t>
            </w:r>
          </w:p>
        </w:tc>
      </w:tr>
      <w:tr w:rsidR="00154398" w:rsidRPr="00D65CC9" w14:paraId="3CEEB5EC" w14:textId="77777777" w:rsidTr="008453DF">
        <w:tc>
          <w:tcPr>
            <w:tcW w:w="6277" w:type="dxa"/>
            <w:shd w:val="clear" w:color="auto" w:fill="auto"/>
          </w:tcPr>
          <w:p w14:paraId="26905256" w14:textId="2D45917E" w:rsidR="00154398" w:rsidRPr="00154398" w:rsidRDefault="00A411FF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Median</w:t>
            </w:r>
          </w:p>
        </w:tc>
        <w:tc>
          <w:tcPr>
            <w:tcW w:w="1611" w:type="dxa"/>
            <w:shd w:val="clear" w:color="auto" w:fill="auto"/>
          </w:tcPr>
          <w:p w14:paraId="09B361B2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295</w:t>
            </w:r>
          </w:p>
        </w:tc>
        <w:tc>
          <w:tcPr>
            <w:tcW w:w="1740" w:type="dxa"/>
            <w:shd w:val="clear" w:color="auto" w:fill="auto"/>
          </w:tcPr>
          <w:p w14:paraId="41B7A2D6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627</w:t>
            </w:r>
          </w:p>
        </w:tc>
      </w:tr>
      <w:tr w:rsidR="00154398" w:rsidRPr="00D65CC9" w14:paraId="7C92BC38" w14:textId="77777777" w:rsidTr="008453DF">
        <w:tc>
          <w:tcPr>
            <w:tcW w:w="6277" w:type="dxa"/>
            <w:shd w:val="clear" w:color="auto" w:fill="auto"/>
          </w:tcPr>
          <w:p w14:paraId="2CC5F1D5" w14:textId="492A3C1E" w:rsidR="00154398" w:rsidRPr="00154398" w:rsidRDefault="00A411FF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person</w:t>
            </w:r>
          </w:p>
        </w:tc>
        <w:tc>
          <w:tcPr>
            <w:tcW w:w="1611" w:type="dxa"/>
            <w:shd w:val="clear" w:color="auto" w:fill="auto"/>
          </w:tcPr>
          <w:p w14:paraId="40DB3CB7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78</w:t>
            </w:r>
          </w:p>
        </w:tc>
        <w:tc>
          <w:tcPr>
            <w:tcW w:w="1740" w:type="dxa"/>
            <w:shd w:val="clear" w:color="auto" w:fill="auto"/>
          </w:tcPr>
          <w:p w14:paraId="35B50522" w14:textId="77777777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326</w:t>
            </w:r>
          </w:p>
        </w:tc>
      </w:tr>
      <w:tr w:rsidR="00154398" w:rsidRPr="00D65CC9" w14:paraId="7D268D46" w14:textId="77777777" w:rsidTr="008453DF">
        <w:tc>
          <w:tcPr>
            <w:tcW w:w="6277" w:type="dxa"/>
            <w:shd w:val="clear" w:color="auto" w:fill="auto"/>
          </w:tcPr>
          <w:p w14:paraId="244BAC80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06258398" w14:textId="77777777" w:rsidR="00154398" w:rsidRPr="00154398" w:rsidRDefault="00154398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86</w:t>
            </w:r>
          </w:p>
        </w:tc>
        <w:tc>
          <w:tcPr>
            <w:tcW w:w="1740" w:type="dxa"/>
            <w:shd w:val="clear" w:color="auto" w:fill="auto"/>
          </w:tcPr>
          <w:p w14:paraId="68361092" w14:textId="0C774F9F" w:rsidR="00154398" w:rsidRPr="00154398" w:rsidRDefault="00154398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07511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8E5FED" w:rsidRPr="00D65CC9" w14:paraId="63F3F6FA" w14:textId="77777777" w:rsidTr="008453DF">
        <w:tc>
          <w:tcPr>
            <w:tcW w:w="6277" w:type="dxa"/>
            <w:shd w:val="clear" w:color="auto" w:fill="auto"/>
          </w:tcPr>
          <w:p w14:paraId="4B06A745" w14:textId="3D5559F2" w:rsidR="008E5FED" w:rsidRPr="00154398" w:rsidRDefault="008E5FE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Disposable monthly income of a household </w:t>
            </w:r>
            <w:r w:rsidRPr="00154398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EUR</w:t>
            </w:r>
            <w:r w:rsidRPr="00154398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(intervals)</w:t>
            </w:r>
            <w:r w:rsidR="001228AD">
              <w:rPr>
                <w:rFonts w:ascii="Times New Roman" w:eastAsia="Times New Roman" w:hAnsi="Times New Roman" w:cs="Times New Roman"/>
              </w:rPr>
              <w:t xml:space="preserve"> (%)</w:t>
            </w:r>
          </w:p>
        </w:tc>
        <w:tc>
          <w:tcPr>
            <w:tcW w:w="1611" w:type="dxa"/>
            <w:shd w:val="clear" w:color="auto" w:fill="auto"/>
          </w:tcPr>
          <w:p w14:paraId="594BF12F" w14:textId="533B8E9E" w:rsidR="008E5FED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8E5FED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51708039" w14:textId="4E2F387E" w:rsidR="008E5FED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E5FED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8E5FED" w:rsidRPr="00D65CC9" w14:paraId="31752DC5" w14:textId="77777777" w:rsidTr="008453DF">
        <w:tc>
          <w:tcPr>
            <w:tcW w:w="6277" w:type="dxa"/>
            <w:shd w:val="clear" w:color="auto" w:fill="auto"/>
          </w:tcPr>
          <w:p w14:paraId="2156C0B8" w14:textId="5857A42A" w:rsidR="008E5FED" w:rsidRPr="00154398" w:rsidRDefault="001228A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Less than </w:t>
            </w:r>
            <w:r w:rsidR="008E5FED" w:rsidRPr="001543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11" w:type="dxa"/>
            <w:shd w:val="clear" w:color="auto" w:fill="auto"/>
          </w:tcPr>
          <w:p w14:paraId="182C1BE7" w14:textId="71FB9423" w:rsidR="008E5FED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</w:t>
            </w:r>
            <w:r w:rsidR="008E5FED" w:rsidRPr="0015439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6F372436" w14:textId="3467BC32" w:rsidR="008E5FED" w:rsidRPr="00154398" w:rsidRDefault="0007511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8E5FED" w:rsidRPr="0015439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5FED" w:rsidRPr="00D65CC9" w14:paraId="6880C2F0" w14:textId="77777777" w:rsidTr="008453DF">
        <w:tc>
          <w:tcPr>
            <w:tcW w:w="6277" w:type="dxa"/>
            <w:shd w:val="clear" w:color="auto" w:fill="auto"/>
          </w:tcPr>
          <w:p w14:paraId="7769A5AC" w14:textId="77777777" w:rsidR="008E5FED" w:rsidRPr="00154398" w:rsidRDefault="008E5FE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200–300</w:t>
            </w:r>
          </w:p>
        </w:tc>
        <w:tc>
          <w:tcPr>
            <w:tcW w:w="1611" w:type="dxa"/>
            <w:shd w:val="clear" w:color="auto" w:fill="auto"/>
          </w:tcPr>
          <w:p w14:paraId="2B059FC9" w14:textId="77777777" w:rsidR="008E5FED" w:rsidRPr="00154398" w:rsidRDefault="008E5FED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740" w:type="dxa"/>
            <w:shd w:val="clear" w:color="auto" w:fill="auto"/>
          </w:tcPr>
          <w:p w14:paraId="11CFB5DE" w14:textId="71D7390A" w:rsidR="008E5FED" w:rsidRPr="00154398" w:rsidRDefault="0007511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 w:rsidR="008E5FED" w:rsidRPr="0015439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E5FED" w:rsidRPr="00D65CC9" w14:paraId="54358729" w14:textId="77777777" w:rsidTr="008453DF">
        <w:tc>
          <w:tcPr>
            <w:tcW w:w="6277" w:type="dxa"/>
            <w:shd w:val="clear" w:color="auto" w:fill="auto"/>
          </w:tcPr>
          <w:p w14:paraId="2EC3615B" w14:textId="77777777" w:rsidR="008E5FED" w:rsidRPr="00154398" w:rsidRDefault="008E5FE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301–400</w:t>
            </w:r>
          </w:p>
        </w:tc>
        <w:tc>
          <w:tcPr>
            <w:tcW w:w="1611" w:type="dxa"/>
            <w:shd w:val="clear" w:color="auto" w:fill="auto"/>
          </w:tcPr>
          <w:p w14:paraId="187AB6AE" w14:textId="4DE6967F" w:rsidR="008E5FED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17.</w:t>
            </w:r>
            <w:r w:rsidR="008E5FED" w:rsidRPr="00154398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740" w:type="dxa"/>
            <w:shd w:val="clear" w:color="auto" w:fill="auto"/>
          </w:tcPr>
          <w:p w14:paraId="36BEE3CA" w14:textId="60BE3121" w:rsidR="008E5FED" w:rsidRPr="00154398" w:rsidRDefault="0007511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="008E5FED" w:rsidRPr="001543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E5FED" w:rsidRPr="00D65CC9" w14:paraId="76DBC910" w14:textId="77777777" w:rsidTr="008453DF">
        <w:tc>
          <w:tcPr>
            <w:tcW w:w="6277" w:type="dxa"/>
            <w:shd w:val="clear" w:color="auto" w:fill="auto"/>
          </w:tcPr>
          <w:p w14:paraId="248F1460" w14:textId="77777777" w:rsidR="008E5FED" w:rsidRPr="00154398" w:rsidRDefault="008E5FE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401–600</w:t>
            </w:r>
          </w:p>
        </w:tc>
        <w:tc>
          <w:tcPr>
            <w:tcW w:w="1611" w:type="dxa"/>
            <w:shd w:val="clear" w:color="auto" w:fill="auto"/>
          </w:tcPr>
          <w:p w14:paraId="200D709B" w14:textId="053B45DD" w:rsidR="008E5FED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13.</w:t>
            </w:r>
            <w:r w:rsidR="008E5FED" w:rsidRPr="0015439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3EA5B9F5" w14:textId="07A4FC62" w:rsidR="008E5FED" w:rsidRPr="00154398" w:rsidRDefault="0007511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  <w:r w:rsidR="008E5FED" w:rsidRPr="001543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E5FED" w:rsidRPr="00D65CC9" w14:paraId="08A552CE" w14:textId="77777777" w:rsidTr="008453DF">
        <w:tc>
          <w:tcPr>
            <w:tcW w:w="6277" w:type="dxa"/>
            <w:shd w:val="clear" w:color="auto" w:fill="auto"/>
          </w:tcPr>
          <w:p w14:paraId="68BD5B94" w14:textId="77777777" w:rsidR="008E5FED" w:rsidRPr="00154398" w:rsidRDefault="008E5FE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601–900</w:t>
            </w:r>
          </w:p>
        </w:tc>
        <w:tc>
          <w:tcPr>
            <w:tcW w:w="1611" w:type="dxa"/>
            <w:shd w:val="clear" w:color="auto" w:fill="auto"/>
          </w:tcPr>
          <w:p w14:paraId="436F24D7" w14:textId="1EBF967E" w:rsidR="008E5FED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6.</w:t>
            </w:r>
            <w:r w:rsidR="008E5FED" w:rsidRPr="0015439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14:paraId="19E53169" w14:textId="5875967D" w:rsidR="008E5FED" w:rsidRPr="00154398" w:rsidRDefault="0007511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r w:rsidR="008E5FED" w:rsidRPr="0015439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E5FED" w:rsidRPr="00D65CC9" w14:paraId="1FF7CABB" w14:textId="77777777" w:rsidTr="008453DF">
        <w:tc>
          <w:tcPr>
            <w:tcW w:w="6277" w:type="dxa"/>
            <w:shd w:val="clear" w:color="auto" w:fill="auto"/>
          </w:tcPr>
          <w:p w14:paraId="49664B27" w14:textId="73FD3398" w:rsidR="008E5FED" w:rsidRPr="00154398" w:rsidRDefault="001228AD" w:rsidP="0012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More than </w:t>
            </w:r>
            <w:r w:rsidR="008E5FED" w:rsidRPr="0015439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611" w:type="dxa"/>
            <w:shd w:val="clear" w:color="auto" w:fill="auto"/>
          </w:tcPr>
          <w:p w14:paraId="745DF859" w14:textId="2562753A" w:rsidR="008E5FED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  <w:r w:rsidR="008E5FED" w:rsidRPr="001543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14:paraId="540D5EB9" w14:textId="061EB144" w:rsidR="008E5FED" w:rsidRPr="00154398" w:rsidRDefault="00075110" w:rsidP="0007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r w:rsidR="008E5FED" w:rsidRPr="0015439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E5FED" w:rsidRPr="00D65CC9" w14:paraId="48CCCEF7" w14:textId="77777777" w:rsidTr="008453DF">
        <w:tc>
          <w:tcPr>
            <w:tcW w:w="6277" w:type="dxa"/>
            <w:shd w:val="clear" w:color="auto" w:fill="FFFFFF"/>
          </w:tcPr>
          <w:p w14:paraId="00293484" w14:textId="77777777" w:rsidR="008E5FED" w:rsidRPr="00154398" w:rsidRDefault="008E5FED" w:rsidP="008453DF">
            <w:pPr>
              <w:tabs>
                <w:tab w:val="center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FFFFFF"/>
          </w:tcPr>
          <w:p w14:paraId="47D0517E" w14:textId="77777777" w:rsidR="008E5FED" w:rsidRPr="00154398" w:rsidRDefault="008E5FED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740" w:type="dxa"/>
            <w:shd w:val="clear" w:color="auto" w:fill="FFFFFF"/>
          </w:tcPr>
          <w:p w14:paraId="1DD328B1" w14:textId="6283360C" w:rsidR="008E5FED" w:rsidRPr="00154398" w:rsidRDefault="008E5FED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07511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8E5FED" w:rsidRPr="00D65CC9" w14:paraId="446C840D" w14:textId="77777777" w:rsidTr="008453DF">
        <w:tc>
          <w:tcPr>
            <w:tcW w:w="6277" w:type="dxa"/>
            <w:shd w:val="clear" w:color="auto" w:fill="auto"/>
          </w:tcPr>
          <w:p w14:paraId="742CAA33" w14:textId="77777777" w:rsidR="008E5FED" w:rsidRPr="00154398" w:rsidRDefault="008E5FE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14:paraId="708A69E0" w14:textId="2625E889" w:rsidR="008E5FED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r w:rsidR="008E5FED" w:rsidRPr="00154398"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</w:p>
        </w:tc>
        <w:tc>
          <w:tcPr>
            <w:tcW w:w="1740" w:type="dxa"/>
            <w:shd w:val="clear" w:color="auto" w:fill="auto"/>
          </w:tcPr>
          <w:p w14:paraId="090CA041" w14:textId="6D37F695" w:rsidR="008E5FED" w:rsidRPr="00154398" w:rsidRDefault="001D7DAF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E5FED" w:rsidRPr="00154398">
              <w:rPr>
                <w:rFonts w:ascii="Times New Roman" w:eastAsia="Times New Roman" w:hAnsi="Times New Roman" w:cs="Times New Roman"/>
                <w:b/>
                <w:lang w:val="en-US"/>
              </w:rPr>
              <w:t>2013</w:t>
            </w:r>
          </w:p>
        </w:tc>
      </w:tr>
      <w:tr w:rsidR="008E5FED" w:rsidRPr="00D65CC9" w14:paraId="0064A16D" w14:textId="77777777" w:rsidTr="008453DF">
        <w:tc>
          <w:tcPr>
            <w:tcW w:w="6277" w:type="dxa"/>
            <w:shd w:val="clear" w:color="auto" w:fill="auto"/>
          </w:tcPr>
          <w:p w14:paraId="1212C788" w14:textId="745118F9" w:rsidR="008E5FED" w:rsidRPr="00154398" w:rsidRDefault="00EE5ADE" w:rsidP="00A4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Households the monthly income of which is below the minimum average monthly income required to make </w:t>
            </w:r>
            <w:r w:rsidRPr="00A411FF">
              <w:rPr>
                <w:rFonts w:ascii="Times New Roman" w:eastAsia="Times New Roman" w:hAnsi="Times New Roman" w:cs="Times New Roman"/>
                <w:b/>
              </w:rPr>
              <w:t>ends meet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(EUR</w:t>
            </w:r>
            <w:r w:rsidR="008E5FED" w:rsidRPr="001543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14:paraId="757D79F4" w14:textId="76AFC389" w:rsidR="008E5FED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74.</w:t>
            </w:r>
            <w:r w:rsidR="008E5FED" w:rsidRPr="0015439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69BC85C4" w14:textId="215802E3" w:rsidR="008E5FED" w:rsidRPr="00154398" w:rsidRDefault="0007511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</w:t>
            </w:r>
            <w:r w:rsidR="008E5FED" w:rsidRPr="0015439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E5FED" w:rsidRPr="00D65CC9" w14:paraId="4B01D0F9" w14:textId="77777777" w:rsidTr="008453DF">
        <w:tc>
          <w:tcPr>
            <w:tcW w:w="6277" w:type="dxa"/>
            <w:shd w:val="clear" w:color="auto" w:fill="auto"/>
          </w:tcPr>
          <w:p w14:paraId="2F917152" w14:textId="6637ECA2" w:rsidR="008E5FED" w:rsidRPr="00D219FA" w:rsidRDefault="00511A95" w:rsidP="00A4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FA">
              <w:rPr>
                <w:rFonts w:ascii="Times New Roman" w:eastAsia="Times New Roman" w:hAnsi="Times New Roman" w:cs="Times New Roman"/>
              </w:rPr>
              <w:t xml:space="preserve">Households the monthly income of which is above the minimum average monthly income required to make </w:t>
            </w:r>
            <w:r w:rsidRPr="00A411FF">
              <w:rPr>
                <w:rFonts w:ascii="Times New Roman" w:eastAsia="Times New Roman" w:hAnsi="Times New Roman" w:cs="Times New Roman"/>
              </w:rPr>
              <w:t>ends meet</w:t>
            </w:r>
            <w:r w:rsidRPr="00D219FA">
              <w:rPr>
                <w:rFonts w:ascii="Times New Roman" w:eastAsia="Times New Roman" w:hAnsi="Times New Roman" w:cs="Times New Roman"/>
              </w:rPr>
              <w:t xml:space="preserve"> (EUR) </w:t>
            </w:r>
          </w:p>
        </w:tc>
        <w:tc>
          <w:tcPr>
            <w:tcW w:w="1611" w:type="dxa"/>
            <w:shd w:val="clear" w:color="auto" w:fill="auto"/>
          </w:tcPr>
          <w:p w14:paraId="79B51C65" w14:textId="5CE9103D" w:rsidR="008E5FED" w:rsidRPr="00154398" w:rsidRDefault="00D25DB9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</w:t>
            </w:r>
            <w:r w:rsidR="008E5FED" w:rsidRPr="0015439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340F5377" w14:textId="11CFA63E" w:rsidR="008E5FED" w:rsidRPr="00154398" w:rsidRDefault="00075110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  <w:r w:rsidR="008E5FED" w:rsidRPr="001543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E5FED" w:rsidRPr="00D65CC9" w14:paraId="527C1C4D" w14:textId="77777777" w:rsidTr="008453DF">
        <w:tc>
          <w:tcPr>
            <w:tcW w:w="6277" w:type="dxa"/>
            <w:shd w:val="clear" w:color="auto" w:fill="auto"/>
          </w:tcPr>
          <w:p w14:paraId="1FBACB02" w14:textId="77777777" w:rsidR="008E5FED" w:rsidRPr="00154398" w:rsidRDefault="008E5FED" w:rsidP="0084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11" w:type="dxa"/>
            <w:shd w:val="clear" w:color="auto" w:fill="auto"/>
          </w:tcPr>
          <w:p w14:paraId="5C0ACA71" w14:textId="77777777" w:rsidR="008E5FED" w:rsidRPr="00154398" w:rsidRDefault="008E5FED" w:rsidP="0084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4398">
              <w:rPr>
                <w:rFonts w:ascii="Times New Roman" w:eastAsia="Times New Roman" w:hAnsi="Times New Roman" w:cs="Times New Roman"/>
                <w:lang w:val="en-US"/>
              </w:rPr>
              <w:t>86</w:t>
            </w:r>
          </w:p>
        </w:tc>
        <w:tc>
          <w:tcPr>
            <w:tcW w:w="1740" w:type="dxa"/>
            <w:shd w:val="clear" w:color="auto" w:fill="auto"/>
          </w:tcPr>
          <w:p w14:paraId="25052C2A" w14:textId="66294182" w:rsidR="008E5FED" w:rsidRPr="00154398" w:rsidRDefault="008E5FED" w:rsidP="0084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398">
              <w:rPr>
                <w:rFonts w:ascii="Times New Roman" w:eastAsia="Times New Roman" w:hAnsi="Times New Roman" w:cs="Times New Roman"/>
              </w:rPr>
              <w:t>5</w:t>
            </w:r>
            <w:r w:rsidR="00075110">
              <w:rPr>
                <w:rFonts w:ascii="Times New Roman" w:eastAsia="Times New Roman" w:hAnsi="Times New Roman" w:cs="Times New Roman"/>
              </w:rPr>
              <w:t>,</w:t>
            </w:r>
            <w:r w:rsidRPr="00154398">
              <w:rPr>
                <w:rFonts w:ascii="Times New Roman" w:eastAsia="Times New Roman" w:hAnsi="Times New Roman" w:cs="Times New Roman"/>
              </w:rPr>
              <w:t>142</w:t>
            </w:r>
          </w:p>
        </w:tc>
      </w:tr>
    </w:tbl>
    <w:p w14:paraId="7E569607" w14:textId="77777777" w:rsidR="00154398" w:rsidRDefault="00154398" w:rsidP="001543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C68580" w14:textId="481DACF5" w:rsidR="00A52027" w:rsidRDefault="008264A2" w:rsidP="00A520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about </w:t>
      </w:r>
      <w:r w:rsidR="00A411FF">
        <w:rPr>
          <w:rFonts w:ascii="Times New Roman" w:hAnsi="Times New Roman" w:cs="Times New Roman"/>
        </w:rPr>
        <w:t>Individuals</w:t>
      </w:r>
      <w:r>
        <w:rPr>
          <w:rFonts w:ascii="Times New Roman" w:hAnsi="Times New Roman" w:cs="Times New Roman"/>
        </w:rPr>
        <w:t xml:space="preserve"> Surveyed (in comparison with the data from the Income and Living Conditions Survey 2013)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77"/>
        <w:gridCol w:w="1403"/>
        <w:gridCol w:w="1968"/>
      </w:tblGrid>
      <w:tr w:rsidR="00A52027" w:rsidRPr="00A52027" w14:paraId="48696B5D" w14:textId="77777777" w:rsidTr="008453DF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5C31" w14:textId="5311C945" w:rsidR="00A52027" w:rsidRPr="00A52027" w:rsidRDefault="008264A2" w:rsidP="008264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Information about Persons </w:t>
            </w:r>
          </w:p>
        </w:tc>
      </w:tr>
      <w:tr w:rsidR="00A52027" w:rsidRPr="00A52027" w14:paraId="70EFDA00" w14:textId="77777777" w:rsidTr="008453DF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A508" w14:textId="38005575" w:rsidR="00A52027" w:rsidRPr="00A52027" w:rsidRDefault="00A52027" w:rsidP="008264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2027">
              <w:rPr>
                <w:rFonts w:ascii="Times New Roman" w:hAnsi="Times New Roman" w:cs="Times New Roman"/>
                <w:b/>
              </w:rPr>
              <w:t>Social</w:t>
            </w:r>
            <w:r w:rsidR="008264A2">
              <w:rPr>
                <w:rFonts w:ascii="Times New Roman" w:hAnsi="Times New Roman" w:cs="Times New Roman"/>
                <w:b/>
              </w:rPr>
              <w:t xml:space="preserve"> Demographic Characteristics </w:t>
            </w:r>
          </w:p>
        </w:tc>
      </w:tr>
      <w:tr w:rsidR="00A52027" w:rsidRPr="00A52027" w14:paraId="774F6F82" w14:textId="77777777" w:rsidTr="008453DF"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37BF" w14:textId="77ECA5C4" w:rsidR="00A52027" w:rsidRPr="00A52027" w:rsidRDefault="007415C3" w:rsidP="00A520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67D11" w14:textId="30814CF4" w:rsidR="00A52027" w:rsidRPr="00A52027" w:rsidRDefault="001D7DAF" w:rsidP="00A520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D77A" w14:textId="0C701C66" w:rsidR="00A52027" w:rsidRPr="00A52027" w:rsidRDefault="001D7DAF" w:rsidP="00A520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5308CE3A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C8BC" w14:textId="3BEC0688" w:rsidR="00A52027" w:rsidRPr="00A52027" w:rsidRDefault="007415C3" w:rsidP="00A520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Male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AD89" w14:textId="1C69B272" w:rsidR="00A52027" w:rsidRPr="00A52027" w:rsidRDefault="00D25DB9" w:rsidP="00A52027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  <w:r w:rsidR="00A52027" w:rsidRPr="00A520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476B" w14:textId="6E9FDB36" w:rsidR="00A52027" w:rsidRPr="00A52027" w:rsidRDefault="00075110" w:rsidP="00A520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46.</w:t>
            </w:r>
            <w:r w:rsidR="00A52027" w:rsidRPr="00A52027">
              <w:rPr>
                <w:rFonts w:ascii="Times New Roman" w:eastAsia="Arial" w:hAnsi="Times New Roman" w:cs="Times New Roman"/>
              </w:rPr>
              <w:t>07</w:t>
            </w:r>
          </w:p>
        </w:tc>
      </w:tr>
      <w:tr w:rsidR="00A52027" w:rsidRPr="00A52027" w14:paraId="4A07C8A1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78BD" w14:textId="4FCD4B82" w:rsidR="00A52027" w:rsidRPr="00A52027" w:rsidRDefault="007415C3" w:rsidP="00A52027">
            <w:pPr>
              <w:spacing w:after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B332" w14:textId="098F9E8B" w:rsidR="00A52027" w:rsidRPr="00A52027" w:rsidRDefault="00D25DB9" w:rsidP="00A52027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55.</w:t>
            </w:r>
            <w:r w:rsidR="00A52027" w:rsidRPr="00A52027">
              <w:rPr>
                <w:rFonts w:ascii="Times New Roman" w:eastAsia="Arial" w:hAnsi="Times New Roman" w:cs="Times New Roman"/>
              </w:rPr>
              <w:t>85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320B" w14:textId="557ABA2D" w:rsidR="00A52027" w:rsidRPr="00A52027" w:rsidRDefault="00075110" w:rsidP="00A520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53.</w:t>
            </w:r>
            <w:r w:rsidR="00A52027" w:rsidRPr="00A52027">
              <w:rPr>
                <w:rFonts w:ascii="Times New Roman" w:eastAsia="Arial" w:hAnsi="Times New Roman" w:cs="Times New Roman"/>
              </w:rPr>
              <w:t>93</w:t>
            </w:r>
          </w:p>
        </w:tc>
      </w:tr>
      <w:tr w:rsidR="00A52027" w:rsidRPr="00A52027" w14:paraId="067D757A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B36A" w14:textId="77777777" w:rsidR="00A52027" w:rsidRPr="00A52027" w:rsidRDefault="00A52027" w:rsidP="00A52027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A4B4" w14:textId="77777777" w:rsidR="00A52027" w:rsidRPr="00A52027" w:rsidRDefault="00A52027" w:rsidP="00A52027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A52027">
              <w:rPr>
                <w:rFonts w:ascii="Times New Roman" w:eastAsia="Arial" w:hAnsi="Times New Roman" w:cs="Times New Roman"/>
              </w:rPr>
              <w:t>521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53E5" w14:textId="60453E7E" w:rsidR="00A52027" w:rsidRPr="00A52027" w:rsidRDefault="00A52027" w:rsidP="00A520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2027">
              <w:rPr>
                <w:rFonts w:ascii="Times New Roman" w:eastAsia="Arial" w:hAnsi="Times New Roman" w:cs="Times New Roman"/>
              </w:rPr>
              <w:t>11</w:t>
            </w:r>
            <w:r w:rsidR="00075110">
              <w:rPr>
                <w:rFonts w:ascii="Times New Roman" w:eastAsia="Arial" w:hAnsi="Times New Roman" w:cs="Times New Roman"/>
              </w:rPr>
              <w:t>,</w:t>
            </w:r>
            <w:r w:rsidRPr="00A52027">
              <w:rPr>
                <w:rFonts w:ascii="Times New Roman" w:eastAsia="Arial" w:hAnsi="Times New Roman" w:cs="Times New Roman"/>
              </w:rPr>
              <w:t>756</w:t>
            </w:r>
          </w:p>
        </w:tc>
      </w:tr>
      <w:tr w:rsidR="00A52027" w:rsidRPr="00A52027" w14:paraId="1CD36CC4" w14:textId="77777777" w:rsidTr="008453DF"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7169" w14:textId="6FE14302" w:rsidR="00A52027" w:rsidRPr="00A52027" w:rsidRDefault="007415C3" w:rsidP="00A520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8371" w14:textId="09BEAB90" w:rsidR="00A52027" w:rsidRPr="00A52027" w:rsidRDefault="001D7DAF" w:rsidP="00A520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45A9" w14:textId="0DABDE97" w:rsidR="00A52027" w:rsidRPr="00A52027" w:rsidRDefault="001D7DAF" w:rsidP="00A520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40847192" w14:textId="77777777" w:rsidTr="008453DF"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6528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0-9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5941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26.3%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E0D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5.6%</w:t>
            </w:r>
          </w:p>
        </w:tc>
      </w:tr>
      <w:tr w:rsidR="00A52027" w:rsidRPr="00A52027" w14:paraId="5C697E6C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C33C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10-19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9C6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F45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10.2%</w:t>
            </w:r>
          </w:p>
        </w:tc>
      </w:tr>
      <w:tr w:rsidR="00A52027" w:rsidRPr="00A52027" w14:paraId="32CC20A2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DB83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20-29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081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12.7%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D3A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8.9%</w:t>
            </w:r>
          </w:p>
        </w:tc>
      </w:tr>
      <w:tr w:rsidR="00A52027" w:rsidRPr="00A52027" w14:paraId="38712846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CA976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001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10.9%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4AB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8.1%</w:t>
            </w:r>
          </w:p>
        </w:tc>
      </w:tr>
      <w:tr w:rsidR="00A52027" w:rsidRPr="00A52027" w14:paraId="29980C22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E9AE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B9C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49D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14.0%</w:t>
            </w:r>
          </w:p>
        </w:tc>
      </w:tr>
      <w:tr w:rsidR="00A52027" w:rsidRPr="00A52027" w14:paraId="18B5AD61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64952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A7E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3B7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19.3%</w:t>
            </w:r>
          </w:p>
        </w:tc>
      </w:tr>
      <w:tr w:rsidR="00A52027" w:rsidRPr="00A52027" w14:paraId="20B71EA1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92CCC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60-69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375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AE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15.0%</w:t>
            </w:r>
          </w:p>
        </w:tc>
      </w:tr>
      <w:tr w:rsidR="00A52027" w:rsidRPr="00A52027" w14:paraId="6D7E7ABB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C7C1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70-79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F29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06B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13.1%</w:t>
            </w:r>
          </w:p>
        </w:tc>
      </w:tr>
      <w:tr w:rsidR="00A52027" w:rsidRPr="00A52027" w14:paraId="5FE35B8F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4E3F" w14:textId="0B5F961C" w:rsidR="00A52027" w:rsidRPr="00A52027" w:rsidRDefault="00A52027" w:rsidP="007415C3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 xml:space="preserve">80 </w:t>
            </w:r>
            <w:r w:rsidR="007415C3">
              <w:rPr>
                <w:rFonts w:ascii="Times New Roman" w:hAnsi="Times New Roman" w:cs="Times New Roman"/>
              </w:rPr>
              <w:t>and more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19988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DDA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5.7%</w:t>
            </w:r>
          </w:p>
        </w:tc>
      </w:tr>
      <w:tr w:rsidR="00A52027" w:rsidRPr="00A52027" w14:paraId="3B6E7A52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5B83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6CE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E297" w14:textId="5B7B4210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2027">
              <w:rPr>
                <w:rFonts w:ascii="Times New Roman" w:hAnsi="Times New Roman" w:cs="Times New Roman"/>
              </w:rPr>
              <w:t>11</w:t>
            </w:r>
            <w:r w:rsidR="00075110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756</w:t>
            </w:r>
          </w:p>
        </w:tc>
      </w:tr>
      <w:tr w:rsidR="00A52027" w:rsidRPr="00A52027" w14:paraId="25873022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6FDD" w14:textId="5EB52A95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Average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1D1E" w14:textId="5AA568B5" w:rsidR="00A52027" w:rsidRPr="00A52027" w:rsidRDefault="00D25DB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52027" w:rsidRPr="00A5202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EBB4" w14:textId="43D5757D" w:rsidR="00A52027" w:rsidRPr="00A52027" w:rsidRDefault="00075110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A52027" w:rsidRPr="00A52027">
              <w:rPr>
                <w:rFonts w:ascii="Times New Roman" w:hAnsi="Times New Roman" w:cs="Times New Roman"/>
              </w:rPr>
              <w:t>69</w:t>
            </w:r>
          </w:p>
        </w:tc>
      </w:tr>
      <w:tr w:rsidR="00A52027" w:rsidRPr="00A52027" w14:paraId="5C327F88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56BA" w14:textId="26315D5D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Citizenship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F743" w14:textId="79CAB7AE" w:rsidR="00A52027" w:rsidRPr="00A52027" w:rsidRDefault="001D7DAF" w:rsidP="00A520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8912" w14:textId="32B12DD3" w:rsidR="00A52027" w:rsidRPr="00A52027" w:rsidRDefault="00A411FF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Census</w:t>
            </w:r>
            <w:r w:rsidR="00A52027" w:rsidRPr="00A52027">
              <w:rPr>
                <w:rFonts w:ascii="Times New Roman" w:hAnsi="Times New Roman" w:cs="Times New Roman"/>
                <w:b/>
                <w:bCs/>
              </w:rPr>
              <w:t xml:space="preserve"> 2011</w:t>
            </w:r>
          </w:p>
        </w:tc>
      </w:tr>
      <w:tr w:rsidR="00A52027" w:rsidRPr="00A52027" w14:paraId="0F195166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7853" w14:textId="3EDBD8E7" w:rsidR="00A52027" w:rsidRPr="00A52027" w:rsidRDefault="007415C3" w:rsidP="007415C3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Republic of Lithuania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BB8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95.6%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0149" w14:textId="77777777" w:rsidR="00A52027" w:rsidRPr="00A52027" w:rsidRDefault="00A52027" w:rsidP="00A520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99.3%</w:t>
            </w:r>
          </w:p>
        </w:tc>
      </w:tr>
      <w:tr w:rsidR="00A52027" w:rsidRPr="00A52027" w14:paraId="52AB6AD0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5D8A" w14:textId="3F3D3278" w:rsidR="00A52027" w:rsidRPr="00A52027" w:rsidRDefault="007415C3" w:rsidP="007415C3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state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6CC6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A226" w14:textId="77777777" w:rsidR="00A52027" w:rsidRPr="00A52027" w:rsidRDefault="00A52027" w:rsidP="00A520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0.7%</w:t>
            </w:r>
          </w:p>
        </w:tc>
      </w:tr>
      <w:tr w:rsidR="00A52027" w:rsidRPr="00A52027" w14:paraId="5CA1B9DD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93B1" w14:textId="2930562A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Stateless persons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B6E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1.9%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BDD0" w14:textId="77777777" w:rsidR="00A52027" w:rsidRPr="00A52027" w:rsidRDefault="00A52027" w:rsidP="00A520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0.2%</w:t>
            </w:r>
          </w:p>
        </w:tc>
      </w:tr>
      <w:tr w:rsidR="00A52027" w:rsidRPr="00A52027" w14:paraId="6BFFD951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4434E" w14:textId="34B4C164" w:rsidR="00A52027" w:rsidRPr="00A52027" w:rsidRDefault="007415C3" w:rsidP="007415C3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Citizenship of another state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D003" w14:textId="17A4876A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0AA4" w14:textId="3EE3292F" w:rsidR="00A52027" w:rsidRPr="00A52027" w:rsidRDefault="00A411FF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Census</w:t>
            </w:r>
            <w:r w:rsidR="00A52027" w:rsidRPr="00A52027">
              <w:rPr>
                <w:rFonts w:ascii="Times New Roman" w:hAnsi="Times New Roman" w:cs="Times New Roman"/>
                <w:b/>
                <w:bCs/>
              </w:rPr>
              <w:t xml:space="preserve"> 2011</w:t>
            </w:r>
          </w:p>
        </w:tc>
      </w:tr>
      <w:tr w:rsidR="00A52027" w:rsidRPr="00A52027" w14:paraId="22313CCD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EAEB" w14:textId="69DB049A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</w:t>
            </w:r>
            <w:r w:rsidR="00A52027" w:rsidRPr="00A5202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10D5E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9A60" w14:textId="77777777" w:rsidR="00A52027" w:rsidRPr="00A52027" w:rsidRDefault="00A52027" w:rsidP="00A520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0.4%</w:t>
            </w:r>
          </w:p>
        </w:tc>
      </w:tr>
      <w:tr w:rsidR="00A52027" w:rsidRPr="00A52027" w14:paraId="10118CAD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65BEA" w14:textId="04B158AE" w:rsidR="00A52027" w:rsidRPr="00A52027" w:rsidRDefault="00306FAC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06FAC">
              <w:rPr>
                <w:rFonts w:ascii="Times New Roman" w:hAnsi="Times New Roman" w:cs="Times New Roman"/>
              </w:rPr>
              <w:t>Belarus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0F8DF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.6%</w:t>
            </w:r>
          </w:p>
        </w:tc>
        <w:tc>
          <w:tcPr>
            <w:tcW w:w="1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6D2F" w14:textId="77777777" w:rsidR="00A52027" w:rsidRPr="00A52027" w:rsidRDefault="00A52027" w:rsidP="00A520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0.3%</w:t>
            </w:r>
          </w:p>
        </w:tc>
      </w:tr>
      <w:tr w:rsidR="00A52027" w:rsidRPr="00A52027" w14:paraId="044AFC6F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9235" w14:textId="1CAD27B3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</w:t>
            </w:r>
            <w:r w:rsidR="00A52027" w:rsidRPr="00A52027">
              <w:rPr>
                <w:rFonts w:ascii="Times New Roman" w:hAnsi="Times New Roman" w:cs="Times New Roman"/>
              </w:rPr>
              <w:t xml:space="preserve">a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A810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.2%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391E" w14:textId="77777777" w:rsidR="00A52027" w:rsidRPr="00A52027" w:rsidRDefault="00A52027" w:rsidP="00A520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271F3AC3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DB35" w14:textId="4B071D8D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Ukraine</w:t>
            </w:r>
            <w:r w:rsidR="00A52027" w:rsidRPr="00A5202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05287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.8%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AC974" w14:textId="77777777" w:rsidR="00A52027" w:rsidRPr="00A52027" w:rsidRDefault="00A52027" w:rsidP="00A520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22BD44BC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1996" w14:textId="4C15BD97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Scotland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8C06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.2%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97D3" w14:textId="77777777" w:rsidR="00A52027" w:rsidRPr="00A52027" w:rsidRDefault="00A52027" w:rsidP="00A520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0E776EE0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93EC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A45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eastAsia="Arial" w:hAnsi="Times New Roman" w:cs="Times New Roman"/>
              </w:rPr>
              <w:t>521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951E" w14:textId="49401716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3</w:t>
            </w:r>
            <w:r w:rsidR="00075110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043</w:t>
            </w:r>
            <w:r w:rsidR="00075110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429</w:t>
            </w:r>
          </w:p>
        </w:tc>
      </w:tr>
      <w:tr w:rsidR="00A52027" w:rsidRPr="00A52027" w14:paraId="0EDFC093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4C16" w14:textId="07EF3345" w:rsidR="00A52027" w:rsidRPr="00A52027" w:rsidRDefault="007415C3" w:rsidP="007415C3">
            <w:pPr>
              <w:autoSpaceDE w:val="0"/>
              <w:spacing w:after="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Country of birth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4B11F" w14:textId="727201E4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RS</w:t>
            </w:r>
            <w:r w:rsidR="00A52027" w:rsidRPr="00A52027">
              <w:rPr>
                <w:rFonts w:ascii="Times New Roman" w:eastAsia="Arial" w:hAnsi="Times New Roman" w:cs="Times New Roman"/>
                <w:b/>
                <w:bCs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D6E4" w14:textId="10E21331" w:rsidR="00A52027" w:rsidRPr="00A52027" w:rsidRDefault="00A411F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Census</w:t>
            </w:r>
            <w:r w:rsidR="00A52027" w:rsidRPr="00A52027">
              <w:rPr>
                <w:rFonts w:ascii="Times New Roman" w:hAnsi="Times New Roman" w:cs="Times New Roman"/>
                <w:b/>
                <w:bCs/>
              </w:rPr>
              <w:t xml:space="preserve"> 2011</w:t>
            </w:r>
          </w:p>
        </w:tc>
      </w:tr>
      <w:tr w:rsidR="00A52027" w:rsidRPr="00A52027" w14:paraId="459D7AF9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6F6A" w14:textId="4004C110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Lithuania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0F3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91.6%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DB4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94.1%</w:t>
            </w:r>
          </w:p>
        </w:tc>
      </w:tr>
      <w:tr w:rsidR="00A52027" w:rsidRPr="00A52027" w14:paraId="4D4E57A1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6FEF" w14:textId="77FD4771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country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F69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009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5.9%</w:t>
            </w:r>
          </w:p>
        </w:tc>
      </w:tr>
      <w:tr w:rsidR="00A52027" w:rsidRPr="00A52027" w14:paraId="11FA5F55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8CDC" w14:textId="1039FE13" w:rsidR="00A52027" w:rsidRPr="00A52027" w:rsidRDefault="007415C3" w:rsidP="007415C3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Other country of birth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B7CD" w14:textId="3E098CBA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122F" w14:textId="44B11B20" w:rsidR="00A52027" w:rsidRPr="00A52027" w:rsidRDefault="00A411F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Census</w:t>
            </w:r>
            <w:r w:rsidR="00A52027" w:rsidRPr="00A52027">
              <w:rPr>
                <w:rFonts w:ascii="Times New Roman" w:hAnsi="Times New Roman" w:cs="Times New Roman"/>
                <w:b/>
                <w:bCs/>
              </w:rPr>
              <w:t xml:space="preserve"> 2011</w:t>
            </w:r>
          </w:p>
        </w:tc>
      </w:tr>
      <w:tr w:rsidR="00A52027" w:rsidRPr="00A52027" w14:paraId="6FFA04FC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F394" w14:textId="4EB183BF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</w:t>
            </w:r>
            <w:r w:rsidR="00A52027" w:rsidRPr="00A5202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5B5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0C0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2.6%</w:t>
            </w:r>
          </w:p>
        </w:tc>
      </w:tr>
      <w:tr w:rsidR="00A52027" w:rsidRPr="00A52027" w14:paraId="008C1393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1F19" w14:textId="7D674829" w:rsidR="00A52027" w:rsidRPr="00A52027" w:rsidRDefault="00306FAC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Belarus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DD1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BC5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1.6%</w:t>
            </w:r>
          </w:p>
        </w:tc>
      </w:tr>
      <w:tr w:rsidR="00A52027" w:rsidRPr="00A52027" w14:paraId="311E2FA7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AA33" w14:textId="3552F152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Ukraine</w:t>
            </w:r>
            <w:r w:rsidR="00A52027" w:rsidRPr="00A5202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180F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B8E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0.5%</w:t>
            </w:r>
          </w:p>
        </w:tc>
      </w:tr>
      <w:tr w:rsidR="00A52027" w:rsidRPr="00A52027" w14:paraId="5D364C58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DE90" w14:textId="16684EF7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Kaliningrad</w:t>
            </w:r>
            <w:r w:rsidR="00A52027" w:rsidRPr="00A5202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280B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1B9F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499434CA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C4E8" w14:textId="434DD342" w:rsidR="00A52027" w:rsidRPr="00A52027" w:rsidRDefault="005235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5235C4">
              <w:rPr>
                <w:rFonts w:ascii="Times New Roman" w:hAnsi="Times New Roman" w:cs="Times New Roman"/>
              </w:rPr>
              <w:t>Kazak</w:t>
            </w:r>
            <w:r w:rsidR="007415C3" w:rsidRPr="005235C4">
              <w:rPr>
                <w:rFonts w:ascii="Times New Roman" w:hAnsi="Times New Roman" w:cs="Times New Roman"/>
              </w:rPr>
              <w:t>hstan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B23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3806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0.2%</w:t>
            </w:r>
          </w:p>
        </w:tc>
      </w:tr>
      <w:tr w:rsidR="00A52027" w:rsidRPr="00A52027" w14:paraId="3448FB7A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A17D3" w14:textId="5097D651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</w:t>
            </w:r>
            <w:r w:rsidR="00A52027" w:rsidRPr="00A52027">
              <w:rPr>
                <w:rFonts w:ascii="Times New Roman" w:hAnsi="Times New Roman" w:cs="Times New Roman"/>
              </w:rPr>
              <w:t xml:space="preserve">a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EFD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1.0%</w:t>
            </w:r>
          </w:p>
        </w:tc>
        <w:tc>
          <w:tcPr>
            <w:tcW w:w="1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E98F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0.7%</w:t>
            </w:r>
          </w:p>
        </w:tc>
      </w:tr>
      <w:tr w:rsidR="00A52027" w:rsidRPr="00A52027" w14:paraId="2BD9D9E1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39C7" w14:textId="34F07A3A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Poland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8BEB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.2%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7D53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2980E2FB" w14:textId="77777777" w:rsidTr="008453DF"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68F9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 xml:space="preserve">UK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094D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</w:t>
            </w:r>
            <w:r w:rsidR="00A52027">
              <w:rPr>
                <w:rFonts w:ascii="Times New Roman" w:hAnsi="Times New Roman" w:cs="Times New Roman"/>
              </w:rPr>
              <w:t>6</w:t>
            </w:r>
            <w:r w:rsidR="00A52027" w:rsidRPr="00A520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9794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27BDE11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8555" w14:textId="4401F818" w:rsidR="00A52027" w:rsidRPr="00A52027" w:rsidRDefault="007415C3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F907" w14:textId="77777777" w:rsidR="00A52027" w:rsidRPr="00A52027" w:rsidRDefault="008145A9" w:rsidP="008145A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51A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4DFF8CE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E109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DA28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eastAsia="Arial" w:hAnsi="Times New Roman" w:cs="Times New Roman"/>
              </w:rPr>
              <w:t>521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EF9BD" w14:textId="553C6160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3</w:t>
            </w:r>
            <w:r w:rsidR="00075110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043</w:t>
            </w:r>
            <w:r w:rsidR="00075110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429</w:t>
            </w:r>
          </w:p>
        </w:tc>
      </w:tr>
      <w:tr w:rsidR="00A52027" w:rsidRPr="00A52027" w14:paraId="793A4DB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00BC" w14:textId="58FAC63F" w:rsidR="00A52027" w:rsidRPr="00A52027" w:rsidRDefault="006313FD" w:rsidP="006313FD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Resided abroad for one year or longer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21A71" w14:textId="3921DB5D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3B57" w14:textId="62E077F6" w:rsidR="00A52027" w:rsidRPr="00A52027" w:rsidRDefault="00A411FF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Census</w:t>
            </w:r>
            <w:r w:rsidR="00A52027" w:rsidRPr="00A52027">
              <w:rPr>
                <w:rFonts w:ascii="Times New Roman" w:hAnsi="Times New Roman" w:cs="Times New Roman"/>
                <w:b/>
                <w:bCs/>
              </w:rPr>
              <w:t xml:space="preserve"> 2011</w:t>
            </w:r>
          </w:p>
        </w:tc>
      </w:tr>
      <w:tr w:rsidR="00A52027" w:rsidRPr="00A52027" w14:paraId="140EE56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993C" w14:textId="2E2CDCED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635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20.1%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B0AEC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6.8%</w:t>
            </w:r>
          </w:p>
        </w:tc>
      </w:tr>
      <w:tr w:rsidR="00A52027" w:rsidRPr="00A52027" w14:paraId="5523010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D9A5" w14:textId="46AD532D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430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79.9%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D383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93.2%</w:t>
            </w:r>
          </w:p>
        </w:tc>
      </w:tr>
      <w:tr w:rsidR="00A52027" w:rsidRPr="00A52027" w14:paraId="0D6675E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A150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5001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1D51" w14:textId="5DFA332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52027">
              <w:rPr>
                <w:rFonts w:ascii="Times New Roman" w:hAnsi="Times New Roman" w:cs="Times New Roman"/>
              </w:rPr>
              <w:t>3</w:t>
            </w:r>
            <w:r w:rsidR="00075110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043</w:t>
            </w:r>
            <w:r w:rsidR="00075110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429</w:t>
            </w:r>
          </w:p>
        </w:tc>
      </w:tr>
      <w:tr w:rsidR="00A52027" w:rsidRPr="00A52027" w14:paraId="7695E1C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0C92" w14:textId="037C2735" w:rsidR="00A52027" w:rsidRPr="00A52027" w:rsidRDefault="006313FD" w:rsidP="00893D0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Average length of stay in Lithuania </w:t>
            </w:r>
            <w:r w:rsidR="00893D08">
              <w:rPr>
                <w:rFonts w:ascii="Times New Roman" w:hAnsi="Times New Roman" w:cs="Times New Roman"/>
                <w:b/>
                <w:bCs/>
                <w:i/>
                <w:iCs/>
              </w:rPr>
              <w:t>(years)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001A" w14:textId="607630E8" w:rsidR="00A52027" w:rsidRPr="00A52027" w:rsidRDefault="00370A3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A52027" w:rsidRPr="00A520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AEBA" w14:textId="63652D73" w:rsidR="00A52027" w:rsidRPr="00A52027" w:rsidRDefault="00075110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data</w:t>
            </w:r>
          </w:p>
        </w:tc>
      </w:tr>
      <w:tr w:rsidR="00A52027" w:rsidRPr="00A52027" w14:paraId="0759C52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3385A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C336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EBD3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6D32D12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9EC8E22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3156D9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1A1F63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74498DC8" w14:textId="77777777" w:rsidTr="008453DF">
        <w:trPr>
          <w:trHeight w:val="257"/>
        </w:trPr>
        <w:tc>
          <w:tcPr>
            <w:tcW w:w="9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F493" w14:textId="54C6CAE6" w:rsidR="00A52027" w:rsidRPr="00A52027" w:rsidRDefault="00FF458E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</w:tr>
      <w:tr w:rsidR="00A52027" w:rsidRPr="00A52027" w14:paraId="2F55F06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1E74" w14:textId="7E47B62B" w:rsidR="00A52027" w:rsidRPr="00A52027" w:rsidRDefault="0081428E" w:rsidP="0081428E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Currently enrolled in a higher, vocational or general education programme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1817" w14:textId="2992CAFC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FCED" w14:textId="3686094A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46A0355E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3A2BE" w14:textId="2BA2DFF7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FCE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11.0%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3EB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9.3%</w:t>
            </w:r>
          </w:p>
        </w:tc>
      </w:tr>
      <w:tr w:rsidR="00A52027" w:rsidRPr="00A52027" w14:paraId="441A96F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4226" w14:textId="58671259" w:rsidR="00A52027" w:rsidRPr="00A52027" w:rsidRDefault="00A645F0" w:rsidP="0024332C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="00A52027" w:rsidRPr="00A52027">
              <w:rPr>
                <w:rFonts w:ascii="Times New Roman" w:hAnsi="Times New Roman" w:cs="Times New Roman"/>
              </w:rPr>
              <w:t xml:space="preserve">, </w:t>
            </w:r>
            <w:r w:rsidR="0024332C">
              <w:rPr>
                <w:rFonts w:ascii="Times New Roman" w:hAnsi="Times New Roman" w:cs="Times New Roman"/>
              </w:rPr>
              <w:t>but now on an academic</w:t>
            </w:r>
            <w:r w:rsidR="00A411FF">
              <w:rPr>
                <w:rFonts w:ascii="Times New Roman" w:hAnsi="Times New Roman" w:cs="Times New Roman"/>
              </w:rPr>
              <w:t>/school</w:t>
            </w:r>
            <w:r w:rsidR="0024332C">
              <w:rPr>
                <w:rFonts w:ascii="Times New Roman" w:hAnsi="Times New Roman" w:cs="Times New Roman"/>
              </w:rPr>
              <w:t xml:space="preserve"> leave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6DF8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857B" w14:textId="46504540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1033F4B4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EBFC0" w14:textId="3ACC09DC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F4C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88.3%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445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90.7%</w:t>
            </w:r>
          </w:p>
        </w:tc>
      </w:tr>
      <w:tr w:rsidR="00A52027" w:rsidRPr="00A52027" w14:paraId="1ECF8B50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5AFC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34DC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C86A" w14:textId="107D7761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10</w:t>
            </w:r>
            <w:r w:rsidR="007236DC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444</w:t>
            </w:r>
          </w:p>
        </w:tc>
      </w:tr>
      <w:tr w:rsidR="00A52027" w:rsidRPr="00A52027" w14:paraId="42A6D270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38D5" w14:textId="594C57EE" w:rsidR="00A52027" w:rsidRPr="00A52027" w:rsidRDefault="0024332C" w:rsidP="00C51765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Attended a higher, vocational </w:t>
            </w:r>
            <w:r w:rsidR="00C51765">
              <w:rPr>
                <w:rFonts w:ascii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general education programme over the last 12 months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02C5" w14:textId="78323058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0CAA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3CD76C3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F61F" w14:textId="0074114B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B82A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DFE0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N/I</w:t>
            </w:r>
          </w:p>
        </w:tc>
      </w:tr>
      <w:tr w:rsidR="00A52027" w:rsidRPr="00A52027" w14:paraId="50F6B3A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6925" w14:textId="4C4578A9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860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90.6%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E533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N/I</w:t>
            </w:r>
          </w:p>
        </w:tc>
      </w:tr>
      <w:tr w:rsidR="00A52027" w:rsidRPr="00A52027" w14:paraId="5ED8407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5373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377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F3FE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4383891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3CB2" w14:textId="6FB4B7CB" w:rsidR="00A52027" w:rsidRPr="00A52027" w:rsidRDefault="0024332C" w:rsidP="00A43352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Current level of </w:t>
            </w:r>
            <w:r w:rsidR="00A43352">
              <w:rPr>
                <w:rFonts w:ascii="Times New Roman" w:hAnsi="Times New Roman" w:cs="Times New Roman"/>
                <w:b/>
                <w:bCs/>
              </w:rPr>
              <w:t>programme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those enrolled in education programmes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513A" w14:textId="152C771C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12BD" w14:textId="3313438D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1C8BFB9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2C8C" w14:textId="246E8B80" w:rsidR="00A52027" w:rsidRPr="00A52027" w:rsidRDefault="0024332C" w:rsidP="0024332C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Primary grades of general education school </w:t>
            </w:r>
            <w:r w:rsidR="00A52027" w:rsidRPr="00A52027">
              <w:rPr>
                <w:rFonts w:ascii="Times New Roman" w:hAnsi="Times New Roman" w:cs="Times New Roman"/>
              </w:rPr>
              <w:t xml:space="preserve">(1–4)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ADA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7.0%</w:t>
            </w:r>
          </w:p>
        </w:tc>
        <w:tc>
          <w:tcPr>
            <w:tcW w:w="1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F13A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10.8%</w:t>
            </w:r>
          </w:p>
        </w:tc>
      </w:tr>
      <w:tr w:rsidR="00A52027" w:rsidRPr="00A52027" w14:paraId="4C74917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F8834" w14:textId="2190BAB7" w:rsidR="00A52027" w:rsidRPr="00A52027" w:rsidRDefault="0024332C" w:rsidP="0024332C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Grades 5-10 of general education school or grades 1-2 of gymnasiums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FD2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55.8%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4E82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2428166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6914" w14:textId="525BE16C" w:rsidR="00A52027" w:rsidRPr="00A52027" w:rsidRDefault="0024332C" w:rsidP="0024332C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Grades 11-12 of general education school or grades 3-4 of gymnasiums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F39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11.6%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B596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37.8%</w:t>
            </w:r>
          </w:p>
        </w:tc>
      </w:tr>
      <w:tr w:rsidR="00A52027" w:rsidRPr="00A52027" w14:paraId="6F8EB36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6DBE" w14:textId="7E465CB1" w:rsidR="00A52027" w:rsidRPr="00A52027" w:rsidRDefault="0024332C" w:rsidP="00A43352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Vocation</w:t>
            </w:r>
            <w:r w:rsidR="00A43352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 xml:space="preserve"> school </w:t>
            </w:r>
            <w:r w:rsidR="00A43352">
              <w:rPr>
                <w:rFonts w:ascii="Times New Roman" w:hAnsi="Times New Roman" w:cs="Times New Roman"/>
              </w:rPr>
              <w:t xml:space="preserve">(entered before finishing the basic school)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D81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711A" w14:textId="5A3E8591" w:rsidR="00A52027" w:rsidRPr="00A52027" w:rsidRDefault="007236DC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71AFFA9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8920" w14:textId="78AC111A" w:rsidR="00A52027" w:rsidRPr="00A52027" w:rsidRDefault="00A43352" w:rsidP="00A43352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Vocational school (entered after finishing the basic school)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A83A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8FD74" w14:textId="58AA76B5" w:rsidR="00A52027" w:rsidRPr="00A52027" w:rsidRDefault="007236DC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4D4751C4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8C0F" w14:textId="09FA19D2" w:rsidR="00A52027" w:rsidRPr="00A52027" w:rsidRDefault="00A43352" w:rsidP="00A43352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Vocation school (entered after finishing the secondary school)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5C6D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B9B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3.7%</w:t>
            </w:r>
          </w:p>
        </w:tc>
      </w:tr>
      <w:tr w:rsidR="00A52027" w:rsidRPr="00A52027" w14:paraId="6FE4BCD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9855" w14:textId="2C69EE59" w:rsidR="00A52027" w:rsidRPr="00A52027" w:rsidRDefault="00A43352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BD5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2.3%</w:t>
            </w:r>
          </w:p>
        </w:tc>
        <w:tc>
          <w:tcPr>
            <w:tcW w:w="1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588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46.7%</w:t>
            </w:r>
          </w:p>
        </w:tc>
      </w:tr>
      <w:tr w:rsidR="00A52027" w:rsidRPr="00A52027" w14:paraId="154D16E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E15E5" w14:textId="34EBDE08" w:rsidR="00A52027" w:rsidRPr="00A52027" w:rsidRDefault="00A43352" w:rsidP="00A43352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 w:rsidR="00A52027" w:rsidRPr="00A52027">
              <w:rPr>
                <w:rFonts w:ascii="Times New Roman" w:hAnsi="Times New Roman" w:cs="Times New Roman"/>
              </w:rPr>
              <w:t>, a</w:t>
            </w:r>
            <w:r>
              <w:rPr>
                <w:rFonts w:ascii="Times New Roman" w:hAnsi="Times New Roman" w:cs="Times New Roman"/>
              </w:rPr>
              <w:t xml:space="preserve">cademy, seminary (bachelor degree programme)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C13E" w14:textId="77777777" w:rsidR="00A52027" w:rsidRPr="00A52027" w:rsidRDefault="008145A9" w:rsidP="008145A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333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3E6FAEFD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5AA2" w14:textId="57B1A448" w:rsidR="00A52027" w:rsidRPr="00A52027" w:rsidRDefault="00A43352" w:rsidP="00A43352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University, academy, seminary (master degree or equivalent programme)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D3F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9.3%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7FC6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1FAA2E2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F481" w14:textId="515B417B" w:rsidR="00A52027" w:rsidRPr="00A52027" w:rsidRDefault="00A52027" w:rsidP="00A43352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Universit</w:t>
            </w:r>
            <w:r w:rsidR="00A43352">
              <w:rPr>
                <w:rFonts w:ascii="Times New Roman" w:hAnsi="Times New Roman" w:cs="Times New Roman"/>
              </w:rPr>
              <w:t xml:space="preserve">y, academy, seminary (doctoral degree programme)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D57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7047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.9%</w:t>
            </w:r>
          </w:p>
        </w:tc>
      </w:tr>
      <w:tr w:rsidR="00A52027" w:rsidRPr="00A52027" w14:paraId="5645A18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909E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E04F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2E12F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970</w:t>
            </w:r>
          </w:p>
        </w:tc>
      </w:tr>
      <w:tr w:rsidR="00A52027" w:rsidRPr="00A52027" w14:paraId="146E6FE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0053" w14:textId="1EBA814A" w:rsidR="00A52027" w:rsidRPr="00A52027" w:rsidRDefault="006D5316" w:rsidP="006D5316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Education attainment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5E26" w14:textId="4DF007A3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A428" w14:textId="1DE9EA19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16FC8B9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641A" w14:textId="050CCCF4" w:rsidR="00A52027" w:rsidRPr="00A52027" w:rsidRDefault="00467D2B" w:rsidP="00467D2B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Doctoral degree studies, postgraduate course at university (academy, institute, seminary)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3753" w14:textId="77777777" w:rsidR="00A52027" w:rsidRPr="00A52027" w:rsidRDefault="00A52027" w:rsidP="008145A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4AFC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0.3%</w:t>
            </w:r>
          </w:p>
        </w:tc>
      </w:tr>
      <w:tr w:rsidR="00A52027" w:rsidRPr="00A52027" w14:paraId="1A0244B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558E" w14:textId="496CB887" w:rsidR="00A52027" w:rsidRPr="00A52027" w:rsidRDefault="00467D2B" w:rsidP="00467D2B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 degree or equivalent studies (academy, institute, seminary)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14C7" w14:textId="77777777" w:rsidR="00A52027" w:rsidRPr="00A52027" w:rsidRDefault="008145A9" w:rsidP="008145A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2196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24.8%</w:t>
            </w:r>
          </w:p>
        </w:tc>
      </w:tr>
      <w:tr w:rsidR="00A52027" w:rsidRPr="00A52027" w14:paraId="3E84921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1147" w14:textId="1FCA1378" w:rsidR="00A52027" w:rsidRPr="00A52027" w:rsidRDefault="00467D2B" w:rsidP="00467D2B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Bachelor degree studies at university (academy, institute, seminary)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ABFA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.7%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983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1126D14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C46A" w14:textId="5934BBCD" w:rsidR="00A52027" w:rsidRPr="00A52027" w:rsidRDefault="00467D2B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069A" w14:textId="77777777" w:rsidR="00A52027" w:rsidRPr="00A52027" w:rsidRDefault="008145A9" w:rsidP="008145A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1198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0C4EBED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8190" w14:textId="3960BAE2" w:rsidR="00A52027" w:rsidRPr="00A52027" w:rsidRDefault="00467D2B" w:rsidP="00467D2B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College-type school (until </w:t>
            </w:r>
            <w:r>
              <w:rPr>
                <w:rFonts w:ascii="Times New Roman" w:hAnsi="Times New Roman" w:cs="Times New Roman"/>
                <w:lang w:val="en-US"/>
              </w:rPr>
              <w:t xml:space="preserve">2006)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32F4" w14:textId="77777777" w:rsidR="00A52027" w:rsidRPr="00A52027" w:rsidRDefault="00A52027" w:rsidP="008145A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729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3B61445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055F" w14:textId="58C1512E" w:rsidR="00A52027" w:rsidRPr="00A52027" w:rsidRDefault="00A52027" w:rsidP="00467D2B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Special</w:t>
            </w:r>
            <w:r w:rsidR="00467D2B">
              <w:rPr>
                <w:rFonts w:ascii="Times New Roman" w:hAnsi="Times New Roman" w:cs="Times New Roman"/>
              </w:rPr>
              <w:t xml:space="preserve"> secondary school or technical school </w:t>
            </w:r>
            <w:r w:rsidRPr="00A52027">
              <w:rPr>
                <w:rFonts w:ascii="Times New Roman" w:hAnsi="Times New Roman" w:cs="Times New Roman"/>
              </w:rPr>
              <w:t>(</w:t>
            </w:r>
            <w:r w:rsidR="00467D2B">
              <w:rPr>
                <w:rFonts w:ascii="Times New Roman" w:hAnsi="Times New Roman" w:cs="Times New Roman"/>
              </w:rPr>
              <w:t>until 1995</w:t>
            </w:r>
            <w:r w:rsidRPr="00A520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DA81" w14:textId="77777777" w:rsidR="00A52027" w:rsidRPr="00A52027" w:rsidRDefault="00A52027" w:rsidP="008145A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3F8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21.7%</w:t>
            </w:r>
          </w:p>
        </w:tc>
      </w:tr>
      <w:tr w:rsidR="00A52027" w:rsidRPr="00A52027" w14:paraId="19EBE41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20A4" w14:textId="3B02F21A" w:rsidR="00A52027" w:rsidRPr="00A52027" w:rsidRDefault="00A6723E" w:rsidP="00A6723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Vocational training institution (entered after graduation of the secondary school)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F54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FD3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75E995F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3567" w14:textId="76A89959" w:rsidR="00A52027" w:rsidRPr="00A52027" w:rsidRDefault="00A6723E" w:rsidP="00A6723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 school, completed secondary education programme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6B3C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CD31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28.7%</w:t>
            </w:r>
          </w:p>
        </w:tc>
      </w:tr>
      <w:tr w:rsidR="00A52027" w:rsidRPr="00A52027" w14:paraId="25653C8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CAF2" w14:textId="74A9BCD9" w:rsidR="00A52027" w:rsidRPr="00A52027" w:rsidRDefault="00A6723E" w:rsidP="00A6723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Vocational training institution (entered after graduation of the basic school)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71F8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F89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0.0%</w:t>
            </w:r>
          </w:p>
        </w:tc>
      </w:tr>
      <w:tr w:rsidR="00A52027" w:rsidRPr="00A52027" w14:paraId="224B85E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DD23" w14:textId="7C2F26D2" w:rsidR="00A52027" w:rsidRPr="00A52027" w:rsidRDefault="00A6723E" w:rsidP="00A6723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Vocational training institution (entered without graduation from the basic school)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563E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49C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0.0%</w:t>
            </w:r>
          </w:p>
        </w:tc>
      </w:tr>
      <w:tr w:rsidR="00A52027" w:rsidRPr="00A52027" w14:paraId="0E5397C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C4C1" w14:textId="344B5F02" w:rsidR="00A52027" w:rsidRPr="00A52027" w:rsidRDefault="00A6723E" w:rsidP="00A6723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education school, completed basic education programme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0CE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20.2%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169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15.1%</w:t>
            </w:r>
          </w:p>
        </w:tc>
      </w:tr>
      <w:tr w:rsidR="00A52027" w:rsidRPr="00A52027" w14:paraId="4606982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00AB" w14:textId="2447D57D" w:rsidR="00A52027" w:rsidRPr="00A52027" w:rsidRDefault="00A6723E" w:rsidP="00A6723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General education school, completed primary education programme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634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43.8%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AB3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8.3%</w:t>
            </w:r>
          </w:p>
        </w:tc>
      </w:tr>
      <w:tr w:rsidR="00A52027" w:rsidRPr="00A52027" w14:paraId="5CC2A1C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EB82" w14:textId="2647962C" w:rsidR="00A52027" w:rsidRPr="00A52027" w:rsidRDefault="00A6723E" w:rsidP="00A6723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Primary school not completed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9DCF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24.3%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084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1.1%</w:t>
            </w:r>
          </w:p>
        </w:tc>
      </w:tr>
      <w:tr w:rsidR="00A52027" w:rsidRPr="00A52027" w14:paraId="00A7576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DB95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B4E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D5BB" w14:textId="1E98E8AE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10</w:t>
            </w:r>
            <w:r w:rsidR="007236DC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415</w:t>
            </w:r>
          </w:p>
        </w:tc>
      </w:tr>
      <w:tr w:rsidR="00A52027" w:rsidRPr="00A52027" w14:paraId="5673782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D69F" w14:textId="17614077" w:rsidR="00A52027" w:rsidRPr="00A52027" w:rsidRDefault="009E1003" w:rsidP="009E1003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Took part in the labour market training, other vocational training, informal adult education programmes or courses in 2014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66130" w14:textId="298B946B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4219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05E7F12D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97A5" w14:textId="3D28BCDC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4FC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8.5%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B5DF" w14:textId="3C1F5A4A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3FF399D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F190" w14:textId="025A393D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ED3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91.5%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30E5" w14:textId="001D29CC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17A7848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6125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CC0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8DCA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78761BBF" w14:textId="77777777" w:rsidTr="008453DF">
        <w:trPr>
          <w:trHeight w:val="257"/>
        </w:trPr>
        <w:tc>
          <w:tcPr>
            <w:tcW w:w="9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281A" w14:textId="43A14A51" w:rsidR="00A52027" w:rsidRPr="005E5113" w:rsidRDefault="00DA1AAA" w:rsidP="00DA1AAA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13">
              <w:rPr>
                <w:rFonts w:ascii="Times New Roman" w:hAnsi="Times New Roman" w:cs="Times New Roman"/>
                <w:b/>
                <w:bCs/>
              </w:rPr>
              <w:t xml:space="preserve">Economic Activity Level </w:t>
            </w:r>
          </w:p>
        </w:tc>
      </w:tr>
      <w:tr w:rsidR="00A52027" w:rsidRPr="00A52027" w14:paraId="587080C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7854" w14:textId="0DE98F43" w:rsidR="00A52027" w:rsidRPr="00A52027" w:rsidRDefault="009E1003" w:rsidP="00DA1AA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Current economic </w:t>
            </w:r>
            <w:r w:rsidR="00DA1AAA">
              <w:rPr>
                <w:rFonts w:ascii="Times New Roman" w:hAnsi="Times New Roman" w:cs="Times New Roman"/>
                <w:b/>
                <w:bCs/>
              </w:rPr>
              <w:t xml:space="preserve">activity level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17CB" w14:textId="53C89467" w:rsidR="00A52027" w:rsidRPr="00A52027" w:rsidRDefault="001D7DAF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8217" w14:textId="71B1261C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4C3648E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0725" w14:textId="50DBB9F4" w:rsidR="00A52027" w:rsidRPr="00A52027" w:rsidRDefault="00675F15" w:rsidP="00675F15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time hired employee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0C0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5C0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37.5%</w:t>
            </w:r>
          </w:p>
        </w:tc>
      </w:tr>
      <w:tr w:rsidR="00A52027" w:rsidRPr="00A52027" w14:paraId="2B9E22E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61DD" w14:textId="0CDF63BF" w:rsidR="00A52027" w:rsidRPr="00A52027" w:rsidRDefault="00675F15" w:rsidP="00675F15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 time hired employee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51F9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8C8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2.8%</w:t>
            </w:r>
          </w:p>
        </w:tc>
      </w:tr>
      <w:tr w:rsidR="00A52027" w:rsidRPr="00A52027" w14:paraId="401933D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E34A" w14:textId="01A18066" w:rsidR="00A52027" w:rsidRPr="00A52027" w:rsidRDefault="00675F15" w:rsidP="00675F15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time self-employed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72E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429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3.8%</w:t>
            </w:r>
          </w:p>
        </w:tc>
      </w:tr>
      <w:tr w:rsidR="00A52027" w:rsidRPr="00A52027" w14:paraId="7741505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786E" w14:textId="1E7D0508" w:rsidR="00A52027" w:rsidRPr="00A52027" w:rsidRDefault="00675F15" w:rsidP="00675F15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 time self-employed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C5B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C856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.9%</w:t>
            </w:r>
          </w:p>
        </w:tc>
      </w:tr>
      <w:tr w:rsidR="00A52027" w:rsidRPr="00A52027" w14:paraId="33C0A88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6C20" w14:textId="249D7CF0" w:rsidR="00A52027" w:rsidRPr="00A52027" w:rsidRDefault="00675F15" w:rsidP="00675F15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Unemployed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D7B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38.3%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B4B6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6.6%</w:t>
            </w:r>
          </w:p>
        </w:tc>
      </w:tr>
      <w:tr w:rsidR="00A52027" w:rsidRPr="00A52027" w14:paraId="6C9E847D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E0A5" w14:textId="3EBDD85C" w:rsidR="00A52027" w:rsidRPr="00A52027" w:rsidRDefault="00675F15" w:rsidP="00675F15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Pupil, student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C3C1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11.2%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843A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8.0%</w:t>
            </w:r>
          </w:p>
        </w:tc>
      </w:tr>
      <w:tr w:rsidR="00A52027" w:rsidRPr="00A52027" w14:paraId="451F02BE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A8A6" w14:textId="41C4E232" w:rsidR="00A52027" w:rsidRPr="00A52027" w:rsidRDefault="00675F15" w:rsidP="00675F15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age pensioner</w:t>
            </w:r>
            <w:r w:rsidR="00A52027" w:rsidRPr="00A520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97E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A00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32.9%</w:t>
            </w:r>
          </w:p>
        </w:tc>
      </w:tr>
      <w:tr w:rsidR="00A52027" w:rsidRPr="00A52027" w14:paraId="03BA657D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FBB4" w14:textId="1174F31C" w:rsidR="00A52027" w:rsidRPr="00A52027" w:rsidRDefault="00675F15" w:rsidP="00675F15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not work because of disability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099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166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5.3%</w:t>
            </w:r>
          </w:p>
        </w:tc>
      </w:tr>
      <w:tr w:rsidR="00A52027" w:rsidRPr="00A52027" w14:paraId="5790BF2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12A0" w14:textId="4C77E2DB" w:rsidR="00A52027" w:rsidRPr="00A52027" w:rsidRDefault="00675F15" w:rsidP="00675F15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Housewife, househusband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500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15.6%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F67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1.5%</w:t>
            </w:r>
          </w:p>
        </w:tc>
      </w:tr>
      <w:tr w:rsidR="00A52027" w:rsidRPr="00A52027" w14:paraId="5C5B76E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DAB6" w14:textId="6C8EB881" w:rsidR="00A52027" w:rsidRPr="00A52027" w:rsidRDefault="00675F15" w:rsidP="00FA2C7B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type of economically inactive person</w:t>
            </w:r>
            <w:r w:rsidR="00DA1AA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</w:rPr>
              <w:t>(</w:t>
            </w:r>
            <w:r w:rsidR="00FA2C7B">
              <w:rPr>
                <w:rFonts w:ascii="Times New Roman" w:hAnsi="Times New Roman" w:cs="Times New Roman"/>
              </w:rPr>
              <w:t xml:space="preserve">parental leave for those having </w:t>
            </w:r>
            <w:r>
              <w:rPr>
                <w:rFonts w:ascii="Times New Roman" w:hAnsi="Times New Roman" w:cs="Times New Roman"/>
              </w:rPr>
              <w:t>child</w:t>
            </w:r>
            <w:r w:rsidR="00FA2C7B">
              <w:rPr>
                <w:rFonts w:ascii="Times New Roman" w:hAnsi="Times New Roman" w:cs="Times New Roman"/>
              </w:rPr>
              <w:t>ren</w:t>
            </w:r>
            <w:r>
              <w:rPr>
                <w:rFonts w:ascii="Times New Roman" w:hAnsi="Times New Roman" w:cs="Times New Roman"/>
              </w:rPr>
              <w:t xml:space="preserve"> aged 2-3 years, etc. )</w:t>
            </w:r>
            <w:r w:rsidR="00A52027" w:rsidRPr="00A520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640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68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.5%</w:t>
            </w:r>
          </w:p>
        </w:tc>
      </w:tr>
      <w:tr w:rsidR="00A52027" w:rsidRPr="00A52027" w14:paraId="26F3FE6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BE41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8AA6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BD46" w14:textId="4BF02173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eastAsia="Arial" w:hAnsi="Times New Roman" w:cs="Times New Roman"/>
              </w:rPr>
              <w:t>10</w:t>
            </w:r>
            <w:r w:rsidR="007236DC">
              <w:rPr>
                <w:rFonts w:ascii="Times New Roman" w:eastAsia="Arial" w:hAnsi="Times New Roman" w:cs="Times New Roman"/>
              </w:rPr>
              <w:t>,</w:t>
            </w:r>
            <w:r w:rsidRPr="00A52027">
              <w:rPr>
                <w:rFonts w:ascii="Times New Roman" w:eastAsia="Arial" w:hAnsi="Times New Roman" w:cs="Times New Roman"/>
              </w:rPr>
              <w:t>444</w:t>
            </w:r>
          </w:p>
        </w:tc>
      </w:tr>
      <w:tr w:rsidR="00A52027" w:rsidRPr="00A52027" w14:paraId="170F41C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4BF8" w14:textId="6DBD84C2" w:rsidR="00A52027" w:rsidRPr="00DA1AAA" w:rsidRDefault="00DA1AAA" w:rsidP="00DA1AAA">
            <w:pPr>
              <w:autoSpaceDE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Did your economic activity level change in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2014</w:t>
            </w:r>
            <w:r w:rsidR="00A52027" w:rsidRPr="00A52027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5CC8" w14:textId="6455BB58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4FE1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5FA3B6D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5839" w14:textId="2493C864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5B1F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22.6%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9AFD" w14:textId="1BAB0983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0E888EF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B767C" w14:textId="37CB6956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34F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77.4%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7B65" w14:textId="7B356EFF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128B892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2235A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0A5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7801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3ABF640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90E8F" w14:textId="23077180" w:rsidR="00A52027" w:rsidRPr="00A52027" w:rsidRDefault="00DA1AAA" w:rsidP="00DA1AAA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How many months</w:t>
            </w:r>
            <w:r w:rsidR="00A52027" w:rsidRPr="00A52027">
              <w:rPr>
                <w:rFonts w:ascii="Times New Roman" w:hAnsi="Times New Roman" w:cs="Times New Roman"/>
                <w:b/>
                <w:bCs/>
              </w:rPr>
              <w:t>:</w:t>
            </w:r>
            <w:r w:rsidR="00A52027" w:rsidRPr="00A52027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9"/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4DAD" w14:textId="6CAE5CD2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DBDD" w14:textId="438E0E1D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7C05C72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64D2" w14:textId="70F1A7A4" w:rsidR="00A52027" w:rsidRPr="00A52027" w:rsidRDefault="00DA1AAA" w:rsidP="00DA1AA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worked as a full time hired employee (average)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B02B" w14:textId="7D1F0F22" w:rsidR="00A52027" w:rsidRPr="00A52027" w:rsidRDefault="00DA1AAA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52027" w:rsidRPr="00A520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4054" w14:textId="7EB48191" w:rsidR="00A52027" w:rsidRPr="00A52027" w:rsidRDefault="00DA1AAA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A52027" w:rsidRPr="00A52027">
              <w:rPr>
                <w:rFonts w:ascii="Times New Roman" w:hAnsi="Times New Roman" w:cs="Times New Roman"/>
              </w:rPr>
              <w:t>93</w:t>
            </w:r>
          </w:p>
        </w:tc>
      </w:tr>
      <w:tr w:rsidR="00A52027" w:rsidRPr="00A52027" w14:paraId="3C60604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3D7F" w14:textId="6DB85C75" w:rsidR="00A52027" w:rsidRPr="00A52027" w:rsidRDefault="00DA1AAA" w:rsidP="00417CE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worked as a full time hired employee </w:t>
            </w:r>
            <w:r w:rsidR="00A52027" w:rsidRPr="00A52027">
              <w:rPr>
                <w:rFonts w:ascii="Times New Roman" w:hAnsi="Times New Roman" w:cs="Times New Roman"/>
              </w:rPr>
              <w:t>(</w:t>
            </w:r>
            <w:r w:rsidR="00417CEE">
              <w:rPr>
                <w:rFonts w:ascii="Times New Roman" w:hAnsi="Times New Roman" w:cs="Times New Roman"/>
              </w:rPr>
              <w:t>indicated</w:t>
            </w:r>
            <w:r w:rsidR="00A52027" w:rsidRPr="00A520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D20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43.9%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4CC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41.1%</w:t>
            </w:r>
          </w:p>
        </w:tc>
      </w:tr>
      <w:tr w:rsidR="00A52027" w:rsidRPr="00A52027" w14:paraId="4383C54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A861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7A5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158D" w14:textId="56401982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</w:t>
            </w:r>
            <w:r w:rsidR="007236DC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288</w:t>
            </w:r>
          </w:p>
        </w:tc>
      </w:tr>
      <w:tr w:rsidR="00A52027" w:rsidRPr="00A52027" w14:paraId="6EA40AF4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F35C" w14:textId="09467D9F" w:rsidR="00A52027" w:rsidRPr="00A52027" w:rsidRDefault="00DA1AAA" w:rsidP="00DA1AA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worked as a part time hired employee </w:t>
            </w:r>
            <w:r w:rsidR="00A52027" w:rsidRPr="00A520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average</w:t>
            </w:r>
            <w:r w:rsidR="00A52027" w:rsidRPr="00A520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DD99" w14:textId="1DE2731A" w:rsidR="00A52027" w:rsidRPr="00A52027" w:rsidRDefault="00DA1AAA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52027" w:rsidRPr="00A5202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13DE" w14:textId="5E5FFA05" w:rsidR="00A52027" w:rsidRPr="00A52027" w:rsidRDefault="00DA1AAA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52027" w:rsidRPr="00A52027">
              <w:rPr>
                <w:rFonts w:ascii="Times New Roman" w:hAnsi="Times New Roman" w:cs="Times New Roman"/>
              </w:rPr>
              <w:t>88</w:t>
            </w:r>
          </w:p>
        </w:tc>
      </w:tr>
      <w:tr w:rsidR="00A52027" w:rsidRPr="00A52027" w14:paraId="6AB5E89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534A5" w14:textId="650E7322" w:rsidR="00A52027" w:rsidRPr="00417CEE" w:rsidRDefault="00DA1AAA" w:rsidP="00417CE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417CEE">
              <w:rPr>
                <w:rFonts w:ascii="Times New Roman" w:hAnsi="Times New Roman" w:cs="Times New Roman"/>
              </w:rPr>
              <w:t>worked as a part time hired employee (</w:t>
            </w:r>
            <w:r w:rsidR="00417CEE" w:rsidRPr="00417CEE">
              <w:rPr>
                <w:rFonts w:ascii="Times New Roman" w:hAnsi="Times New Roman" w:cs="Times New Roman"/>
              </w:rPr>
              <w:t>indicated</w:t>
            </w:r>
            <w:r w:rsidR="00A52027" w:rsidRPr="00417C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571D" w14:textId="77777777" w:rsidR="00A52027" w:rsidRPr="00417CEE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7CEE">
              <w:rPr>
                <w:rFonts w:ascii="Times New Roman" w:hAnsi="Times New Roman" w:cs="Times New Roman"/>
              </w:rPr>
              <w:t>22.8%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BDB6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7CEE">
              <w:rPr>
                <w:rFonts w:ascii="Times New Roman" w:hAnsi="Times New Roman" w:cs="Times New Roman"/>
              </w:rPr>
              <w:t>3.6%</w:t>
            </w:r>
          </w:p>
        </w:tc>
      </w:tr>
      <w:tr w:rsidR="00A52027" w:rsidRPr="00A52027" w14:paraId="642747A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3A2C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A3F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2FD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376</w:t>
            </w:r>
          </w:p>
        </w:tc>
      </w:tr>
      <w:tr w:rsidR="00A52027" w:rsidRPr="00A52027" w14:paraId="6EE4FA84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0DDB" w14:textId="0993FD47" w:rsidR="00A52027" w:rsidRPr="00A52027" w:rsidRDefault="008001B9" w:rsidP="00DA1AA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worked as a s</w:t>
            </w:r>
            <w:r w:rsidR="00DA1AAA">
              <w:rPr>
                <w:rFonts w:ascii="Times New Roman" w:hAnsi="Times New Roman" w:cs="Times New Roman"/>
              </w:rPr>
              <w:t>elf-employed or in family business, full time (aver</w:t>
            </w:r>
            <w:r>
              <w:rPr>
                <w:rFonts w:ascii="Times New Roman" w:hAnsi="Times New Roman" w:cs="Times New Roman"/>
              </w:rPr>
              <w:t>ag</w:t>
            </w:r>
            <w:r w:rsidR="00DA1AAA">
              <w:rPr>
                <w:rFonts w:ascii="Times New Roman" w:hAnsi="Times New Roman" w:cs="Times New Roman"/>
              </w:rPr>
              <w:t xml:space="preserve">e)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7C01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E5FC" w14:textId="7711DEDE" w:rsidR="00A52027" w:rsidRPr="00A52027" w:rsidRDefault="007236DC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A52027" w:rsidRPr="00A52027">
              <w:rPr>
                <w:rFonts w:ascii="Times New Roman" w:hAnsi="Times New Roman" w:cs="Times New Roman"/>
              </w:rPr>
              <w:t>49</w:t>
            </w:r>
          </w:p>
        </w:tc>
      </w:tr>
      <w:tr w:rsidR="00A52027" w:rsidRPr="00A52027" w14:paraId="2C6090E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9176" w14:textId="20673FC6" w:rsidR="00A52027" w:rsidRPr="00417CEE" w:rsidRDefault="00417CEE" w:rsidP="00417CE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417CEE">
              <w:rPr>
                <w:rFonts w:ascii="Times New Roman" w:hAnsi="Times New Roman" w:cs="Times New Roman"/>
              </w:rPr>
              <w:t>worked as a self-employed or in family business, full time (indicated)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5147" w14:textId="77777777" w:rsidR="00A52027" w:rsidRPr="00417CEE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7CE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02D6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7CEE">
              <w:rPr>
                <w:rFonts w:ascii="Times New Roman" w:hAnsi="Times New Roman" w:cs="Times New Roman"/>
              </w:rPr>
              <w:t>4.2%</w:t>
            </w:r>
          </w:p>
        </w:tc>
      </w:tr>
      <w:tr w:rsidR="00A52027" w:rsidRPr="00A52027" w14:paraId="0D923E8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BA7F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660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678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440</w:t>
            </w:r>
          </w:p>
        </w:tc>
      </w:tr>
      <w:tr w:rsidR="00A52027" w:rsidRPr="00A52027" w14:paraId="3A2DDEEE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89C5" w14:textId="72ECA4DE" w:rsidR="00A52027" w:rsidRPr="00A52027" w:rsidRDefault="008001B9" w:rsidP="00DA1AA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worked as a s</w:t>
            </w:r>
            <w:r w:rsidR="00DA1AAA">
              <w:rPr>
                <w:rFonts w:ascii="Times New Roman" w:hAnsi="Times New Roman" w:cs="Times New Roman"/>
              </w:rPr>
              <w:t xml:space="preserve">elf-employed or in family business, part time (average)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192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4EDB" w14:textId="26B15996" w:rsidR="00A52027" w:rsidRPr="00A52027" w:rsidRDefault="007236DC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52027" w:rsidRPr="00A52027">
              <w:rPr>
                <w:rFonts w:ascii="Times New Roman" w:hAnsi="Times New Roman" w:cs="Times New Roman"/>
              </w:rPr>
              <w:t>5</w:t>
            </w:r>
          </w:p>
        </w:tc>
      </w:tr>
      <w:tr w:rsidR="00A52027" w:rsidRPr="00A52027" w14:paraId="29307F3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E3338" w14:textId="3591B701" w:rsidR="00A52027" w:rsidRPr="00417CEE" w:rsidRDefault="00A52027" w:rsidP="00417CE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417CEE">
              <w:rPr>
                <w:rFonts w:ascii="Times New Roman" w:hAnsi="Times New Roman" w:cs="Times New Roman"/>
              </w:rPr>
              <w:t xml:space="preserve"> (</w:t>
            </w:r>
            <w:r w:rsidR="00417CEE" w:rsidRPr="00417CEE">
              <w:rPr>
                <w:rFonts w:ascii="Times New Roman" w:hAnsi="Times New Roman" w:cs="Times New Roman"/>
              </w:rPr>
              <w:t>indicated</w:t>
            </w:r>
            <w:r w:rsidRPr="00417C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FAE41" w14:textId="77777777" w:rsidR="00A52027" w:rsidRPr="00417CEE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7CEE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D551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7CEE">
              <w:rPr>
                <w:rFonts w:ascii="Times New Roman" w:hAnsi="Times New Roman" w:cs="Times New Roman"/>
              </w:rPr>
              <w:t>1.2%</w:t>
            </w:r>
          </w:p>
        </w:tc>
      </w:tr>
      <w:tr w:rsidR="00A52027" w:rsidRPr="00A52027" w14:paraId="68FD1AC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EF8C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A40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760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123</w:t>
            </w:r>
          </w:p>
        </w:tc>
      </w:tr>
      <w:tr w:rsidR="00A52027" w:rsidRPr="00A52027" w14:paraId="515E113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0029" w14:textId="7009BD87" w:rsidR="00A52027" w:rsidRPr="00A52027" w:rsidRDefault="008001B9" w:rsidP="008001B9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unemployed (average)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03C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DB4E" w14:textId="685301FA" w:rsidR="00A52027" w:rsidRPr="00A52027" w:rsidRDefault="007236DC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52027" w:rsidRPr="00A52027">
              <w:rPr>
                <w:rFonts w:ascii="Times New Roman" w:hAnsi="Times New Roman" w:cs="Times New Roman"/>
              </w:rPr>
              <w:t>38</w:t>
            </w:r>
          </w:p>
        </w:tc>
      </w:tr>
      <w:tr w:rsidR="00A52027" w:rsidRPr="00A52027" w14:paraId="1FCECA5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F2BB" w14:textId="1DB15748" w:rsidR="00A52027" w:rsidRPr="00A52027" w:rsidRDefault="008001B9" w:rsidP="00417CE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unemployed</w:t>
            </w:r>
            <w:r w:rsidR="00A52027" w:rsidRPr="00A52027">
              <w:rPr>
                <w:rFonts w:ascii="Times New Roman" w:hAnsi="Times New Roman" w:cs="Times New Roman"/>
              </w:rPr>
              <w:t xml:space="preserve"> (</w:t>
            </w:r>
            <w:r w:rsidR="00417CEE">
              <w:rPr>
                <w:rFonts w:ascii="Times New Roman" w:hAnsi="Times New Roman" w:cs="Times New Roman"/>
              </w:rPr>
              <w:t>indicated</w:t>
            </w:r>
            <w:r w:rsidR="00A52027" w:rsidRPr="00A520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B1CC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39.3%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CABFC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10.0%</w:t>
            </w:r>
          </w:p>
        </w:tc>
      </w:tr>
      <w:tr w:rsidR="00A52027" w:rsidRPr="00A52027" w14:paraId="1FF0BB5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9BA8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5D2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F124" w14:textId="537FC2F0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</w:t>
            </w:r>
            <w:r w:rsidR="007236DC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044</w:t>
            </w:r>
          </w:p>
        </w:tc>
      </w:tr>
      <w:tr w:rsidR="00A52027" w:rsidRPr="00A52027" w14:paraId="57FC6A0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849F" w14:textId="1503F837" w:rsidR="00A52027" w:rsidRPr="00A52027" w:rsidRDefault="003728B0" w:rsidP="003728B0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attending school or studying </w:t>
            </w:r>
            <w:r w:rsidR="00A52027" w:rsidRPr="00A520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average</w:t>
            </w:r>
            <w:r w:rsidR="00A52027" w:rsidRPr="00A520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BD8D" w14:textId="4ACF842C" w:rsidR="00A52027" w:rsidRPr="00A52027" w:rsidRDefault="00D25DB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52027" w:rsidRPr="00A520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9261" w14:textId="5C7E2483" w:rsidR="00A52027" w:rsidRPr="00A52027" w:rsidRDefault="007236DC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A52027" w:rsidRPr="00A52027">
              <w:rPr>
                <w:rFonts w:ascii="Times New Roman" w:hAnsi="Times New Roman" w:cs="Times New Roman"/>
              </w:rPr>
              <w:t>08</w:t>
            </w:r>
          </w:p>
        </w:tc>
      </w:tr>
      <w:tr w:rsidR="00A52027" w:rsidRPr="00A52027" w14:paraId="0209E9E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8F3E" w14:textId="4EA0F7FB" w:rsidR="00A52027" w:rsidRPr="00A52027" w:rsidRDefault="003728B0" w:rsidP="00417CE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was attending school or studying </w:t>
            </w:r>
            <w:r w:rsidR="00A52027" w:rsidRPr="00A52027">
              <w:rPr>
                <w:rFonts w:ascii="Times New Roman" w:hAnsi="Times New Roman" w:cs="Times New Roman"/>
              </w:rPr>
              <w:t>(</w:t>
            </w:r>
            <w:r w:rsidR="00417CEE">
              <w:rPr>
                <w:rFonts w:ascii="Times New Roman" w:hAnsi="Times New Roman" w:cs="Times New Roman"/>
              </w:rPr>
              <w:t>indicated</w:t>
            </w:r>
            <w:r w:rsidR="00A52027" w:rsidRPr="00A520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000F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11.1%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24A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9.4%</w:t>
            </w:r>
          </w:p>
        </w:tc>
      </w:tr>
      <w:tr w:rsidR="00A52027" w:rsidRPr="00A52027" w14:paraId="3459E89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E95B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28D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B13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981</w:t>
            </w:r>
          </w:p>
        </w:tc>
      </w:tr>
      <w:tr w:rsidR="00A52027" w:rsidRPr="00A52027" w14:paraId="0241223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B461" w14:textId="15F0C09F" w:rsidR="00A52027" w:rsidRPr="00A52027" w:rsidRDefault="003728B0" w:rsidP="003728B0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an old age pensioner</w:t>
            </w:r>
            <w:r w:rsidR="00A52027" w:rsidRPr="00A5202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average</w:t>
            </w:r>
            <w:r w:rsidR="00A52027" w:rsidRPr="00A520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0F10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D398" w14:textId="667F0177" w:rsidR="00A52027" w:rsidRPr="00A52027" w:rsidRDefault="007236DC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A52027" w:rsidRPr="00A52027">
              <w:rPr>
                <w:rFonts w:ascii="Times New Roman" w:hAnsi="Times New Roman" w:cs="Times New Roman"/>
              </w:rPr>
              <w:t>76</w:t>
            </w:r>
          </w:p>
        </w:tc>
      </w:tr>
      <w:tr w:rsidR="00A52027" w:rsidRPr="00A52027" w14:paraId="1D27CAE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9A6F" w14:textId="54401391" w:rsidR="00A52027" w:rsidRPr="00A52027" w:rsidRDefault="003728B0" w:rsidP="00417CE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an old age pensioner</w:t>
            </w:r>
            <w:r w:rsidR="00A52027" w:rsidRPr="00A52027">
              <w:rPr>
                <w:rFonts w:ascii="Times New Roman" w:hAnsi="Times New Roman" w:cs="Times New Roman"/>
              </w:rPr>
              <w:t xml:space="preserve"> (</w:t>
            </w:r>
            <w:r w:rsidR="00417CEE">
              <w:rPr>
                <w:rFonts w:ascii="Times New Roman" w:hAnsi="Times New Roman" w:cs="Times New Roman"/>
              </w:rPr>
              <w:t>indicated</w:t>
            </w:r>
            <w:r w:rsidR="00A52027" w:rsidRPr="00A520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350D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3C7F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33.0%</w:t>
            </w:r>
          </w:p>
        </w:tc>
      </w:tr>
      <w:tr w:rsidR="00A52027" w:rsidRPr="00A52027" w14:paraId="12C9FA8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AFA6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41D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49A4" w14:textId="31680FF8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</w:t>
            </w:r>
            <w:r w:rsidR="007236DC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444</w:t>
            </w:r>
          </w:p>
        </w:tc>
      </w:tr>
      <w:tr w:rsidR="00A52027" w:rsidRPr="00A52027" w14:paraId="11C3711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36A6" w14:textId="5670234B" w:rsidR="00A52027" w:rsidRPr="00A52027" w:rsidRDefault="003728B0" w:rsidP="003728B0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unemployed because of disability (average)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6DF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CF7B" w14:textId="332AD352" w:rsidR="00A52027" w:rsidRPr="00A52027" w:rsidRDefault="007236DC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A52027" w:rsidRPr="00A52027">
              <w:rPr>
                <w:rFonts w:ascii="Times New Roman" w:hAnsi="Times New Roman" w:cs="Times New Roman"/>
              </w:rPr>
              <w:t>85</w:t>
            </w:r>
          </w:p>
        </w:tc>
      </w:tr>
      <w:tr w:rsidR="00A52027" w:rsidRPr="00A52027" w14:paraId="720A20CE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0755" w14:textId="3E0BF9F0" w:rsidR="00A52027" w:rsidRPr="00A52027" w:rsidRDefault="003728B0" w:rsidP="00417CE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unemployed because of disability</w:t>
            </w:r>
            <w:r w:rsidR="00A52027" w:rsidRPr="00A52027">
              <w:rPr>
                <w:rFonts w:ascii="Times New Roman" w:hAnsi="Times New Roman" w:cs="Times New Roman"/>
              </w:rPr>
              <w:t xml:space="preserve"> (</w:t>
            </w:r>
            <w:r w:rsidR="00417CEE">
              <w:rPr>
                <w:rFonts w:ascii="Times New Roman" w:hAnsi="Times New Roman" w:cs="Times New Roman"/>
              </w:rPr>
              <w:t>indicated</w:t>
            </w:r>
            <w:r w:rsidR="00A52027" w:rsidRPr="00A520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F84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C90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5.8%</w:t>
            </w:r>
          </w:p>
        </w:tc>
      </w:tr>
      <w:tr w:rsidR="00A52027" w:rsidRPr="00A52027" w14:paraId="5B0573C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6F92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DF1F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931C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610</w:t>
            </w:r>
          </w:p>
        </w:tc>
      </w:tr>
      <w:tr w:rsidR="00A52027" w:rsidRPr="00A52027" w14:paraId="0D38B2B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CA77" w14:textId="14F34759" w:rsidR="00A52027" w:rsidRPr="00A52027" w:rsidRDefault="003728B0" w:rsidP="003728B0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in compulsory military service (average)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342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F4C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</w:t>
            </w:r>
          </w:p>
        </w:tc>
      </w:tr>
      <w:tr w:rsidR="00A52027" w:rsidRPr="00A52027" w14:paraId="400723F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B7AC" w14:textId="113EDE61" w:rsidR="00A52027" w:rsidRPr="00A52027" w:rsidRDefault="003728B0" w:rsidP="00417CE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in compulsory military service (</w:t>
            </w:r>
            <w:r w:rsidR="00417CEE">
              <w:rPr>
                <w:rFonts w:ascii="Times New Roman" w:hAnsi="Times New Roman" w:cs="Times New Roman"/>
              </w:rPr>
              <w:t>indicated)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2D3A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11E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.0%</w:t>
            </w:r>
          </w:p>
        </w:tc>
      </w:tr>
      <w:tr w:rsidR="00A52027" w:rsidRPr="00A52027" w14:paraId="32223F8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5C8D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7D8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FBC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</w:t>
            </w:r>
          </w:p>
        </w:tc>
      </w:tr>
      <w:tr w:rsidR="00A52027" w:rsidRPr="00A52027" w14:paraId="73408A0D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25A2" w14:textId="75E749B6" w:rsidR="00A52027" w:rsidRPr="00A52027" w:rsidRDefault="003728B0" w:rsidP="003728B0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a houswife/househusband</w:t>
            </w:r>
            <w:r w:rsidR="00A52027" w:rsidRPr="00A5202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average</w:t>
            </w:r>
            <w:r w:rsidR="00A52027" w:rsidRPr="00A520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95A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5E1D" w14:textId="670D34F7" w:rsidR="00A52027" w:rsidRPr="00A52027" w:rsidRDefault="007236DC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52027" w:rsidRPr="00A52027">
              <w:rPr>
                <w:rFonts w:ascii="Times New Roman" w:hAnsi="Times New Roman" w:cs="Times New Roman"/>
              </w:rPr>
              <w:t>19</w:t>
            </w:r>
          </w:p>
        </w:tc>
      </w:tr>
      <w:tr w:rsidR="00A52027" w:rsidRPr="00A52027" w14:paraId="76D7E50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CF6F5" w14:textId="711AB9C8" w:rsidR="00A52027" w:rsidRPr="00A52027" w:rsidRDefault="003728B0" w:rsidP="00417CE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a housewife/househusband </w:t>
            </w:r>
            <w:r w:rsidR="00A52027" w:rsidRPr="00A52027">
              <w:rPr>
                <w:rFonts w:ascii="Times New Roman" w:hAnsi="Times New Roman" w:cs="Times New Roman"/>
              </w:rPr>
              <w:t>(</w:t>
            </w:r>
            <w:r w:rsidR="00417CEE">
              <w:rPr>
                <w:rFonts w:ascii="Times New Roman" w:hAnsi="Times New Roman" w:cs="Times New Roman"/>
              </w:rPr>
              <w:t>indicated</w:t>
            </w:r>
            <w:r w:rsidR="00A52027" w:rsidRPr="00A520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CD9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5F9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2.0%</w:t>
            </w:r>
          </w:p>
        </w:tc>
      </w:tr>
      <w:tr w:rsidR="00A52027" w:rsidRPr="00A52027" w14:paraId="373E96E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8BCA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AD3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A88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204</w:t>
            </w:r>
          </w:p>
        </w:tc>
      </w:tr>
      <w:tr w:rsidR="00A52027" w:rsidRPr="00A52027" w14:paraId="115C795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4301" w14:textId="7972B0B9" w:rsidR="00A52027" w:rsidRPr="00A52027" w:rsidRDefault="003728B0" w:rsidP="003728B0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otherwise economically inactive (average)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7FD1" w14:textId="42F4AF59" w:rsidR="00A52027" w:rsidRPr="00A52027" w:rsidRDefault="00D25DB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52027" w:rsidRPr="00A520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318C" w14:textId="5B2B490B" w:rsidR="00A52027" w:rsidRPr="00A52027" w:rsidRDefault="007236DC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52027" w:rsidRPr="00A52027">
              <w:rPr>
                <w:rFonts w:ascii="Times New Roman" w:hAnsi="Times New Roman" w:cs="Times New Roman"/>
              </w:rPr>
              <w:t>58</w:t>
            </w:r>
          </w:p>
        </w:tc>
      </w:tr>
      <w:tr w:rsidR="00A52027" w:rsidRPr="00A52027" w14:paraId="753DE2F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C768" w14:textId="24B90944" w:rsidR="00A52027" w:rsidRPr="00A52027" w:rsidRDefault="00DA1E68" w:rsidP="00417CE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otherwise economically inactive </w:t>
            </w:r>
            <w:r w:rsidR="00A52027" w:rsidRPr="00A52027">
              <w:rPr>
                <w:rFonts w:ascii="Times New Roman" w:hAnsi="Times New Roman" w:cs="Times New Roman"/>
              </w:rPr>
              <w:t>(</w:t>
            </w:r>
            <w:r w:rsidR="00417CEE">
              <w:rPr>
                <w:rFonts w:ascii="Times New Roman" w:hAnsi="Times New Roman" w:cs="Times New Roman"/>
              </w:rPr>
              <w:t>indicated</w:t>
            </w:r>
            <w:r w:rsidR="00A52027" w:rsidRPr="00A520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CB65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17.5%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5EC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.9%</w:t>
            </w:r>
          </w:p>
        </w:tc>
      </w:tr>
      <w:tr w:rsidR="00A52027" w:rsidRPr="00A52027" w14:paraId="08A512DD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3D25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AF8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786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97</w:t>
            </w:r>
          </w:p>
        </w:tc>
      </w:tr>
      <w:tr w:rsidR="00A52027" w:rsidRPr="00A52027" w14:paraId="22BEB1D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15D09" w14:textId="3DC3DC2F" w:rsidR="00A52027" w:rsidRPr="00A52027" w:rsidRDefault="00DB63FE" w:rsidP="00DB63FE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Sources of income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F750" w14:textId="5B46554E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9820" w14:textId="194B30D5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Census</w:t>
            </w:r>
            <w:r w:rsidR="00A52027" w:rsidRPr="00A52027">
              <w:rPr>
                <w:rFonts w:ascii="Times New Roman" w:hAnsi="Times New Roman" w:cs="Times New Roman"/>
                <w:b/>
                <w:bCs/>
              </w:rPr>
              <w:t xml:space="preserve"> 2011</w:t>
            </w:r>
            <w:r w:rsidR="00A52027" w:rsidRPr="00A52027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0"/>
            </w:r>
          </w:p>
        </w:tc>
      </w:tr>
      <w:tr w:rsidR="00A52027" w:rsidRPr="00A52027" w14:paraId="49F85D1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FB2C" w14:textId="3D5FD8FC" w:rsidR="00A52027" w:rsidRPr="00A52027" w:rsidRDefault="003728B0" w:rsidP="003728B0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Salary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8DF1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12.9%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30EA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35.9%</w:t>
            </w:r>
          </w:p>
        </w:tc>
      </w:tr>
      <w:tr w:rsidR="00A52027" w:rsidRPr="00A52027" w14:paraId="571D05ED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49F" w14:textId="544E24FA" w:rsidR="00A52027" w:rsidRPr="00A52027" w:rsidRDefault="003728B0" w:rsidP="003728B0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from individual or family business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7EF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1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EFEC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1.6%</w:t>
            </w:r>
          </w:p>
        </w:tc>
      </w:tr>
      <w:tr w:rsidR="00A52027" w:rsidRPr="00A52027" w14:paraId="3736ECD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94318" w14:textId="3F6383A6" w:rsidR="00A52027" w:rsidRPr="00A52027" w:rsidRDefault="003728B0" w:rsidP="003728B0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Income from assets or investment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BC1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.0%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DBE7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27" w:rsidRPr="00A52027" w14:paraId="4BD5CB6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7EE5" w14:textId="54A5EB31" w:rsidR="00A52027" w:rsidRPr="00A52027" w:rsidRDefault="003728B0" w:rsidP="003728B0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Income from agricultural activity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8F70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873C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1.2%</w:t>
            </w:r>
          </w:p>
        </w:tc>
      </w:tr>
      <w:tr w:rsidR="00A52027" w:rsidRPr="00A52027" w14:paraId="7F3D1E6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40FA" w14:textId="4FE21E3B" w:rsidR="00A52027" w:rsidRPr="00A52027" w:rsidRDefault="003728B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Pension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9BC1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E1E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23.5%</w:t>
            </w:r>
          </w:p>
        </w:tc>
      </w:tr>
      <w:tr w:rsidR="00A52027" w:rsidRPr="00A52027" w14:paraId="1DF48FC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74E9" w14:textId="6C07E3A0" w:rsidR="00A52027" w:rsidRPr="00A52027" w:rsidRDefault="003728B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benefit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EA4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50.8%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AB9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7.1%</w:t>
            </w:r>
          </w:p>
        </w:tc>
      </w:tr>
      <w:tr w:rsidR="00A52027" w:rsidRPr="00A52027" w14:paraId="5D962EC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EAA1" w14:textId="603DA279" w:rsidR="00A52027" w:rsidRPr="00A52027" w:rsidRDefault="003728B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Scholarship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0491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25F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0.6%</w:t>
            </w:r>
          </w:p>
        </w:tc>
      </w:tr>
      <w:tr w:rsidR="00A52027" w:rsidRPr="00A52027" w14:paraId="52827D70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3F8B" w14:textId="59BCE0BE" w:rsidR="00A52027" w:rsidRPr="00A52027" w:rsidRDefault="003728B0" w:rsidP="003728B0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dependent person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A5D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FE7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1.0%</w:t>
            </w:r>
          </w:p>
        </w:tc>
      </w:tr>
      <w:tr w:rsidR="00A52027" w:rsidRPr="00A52027" w14:paraId="40C5A3D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319D6" w14:textId="1B078A01" w:rsidR="00A52027" w:rsidRPr="00A52027" w:rsidRDefault="003728B0" w:rsidP="003728B0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or otherwise dependent person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3130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30.8%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461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27.5%</w:t>
            </w:r>
          </w:p>
        </w:tc>
      </w:tr>
      <w:tr w:rsidR="00A52027" w:rsidRPr="00A52027" w14:paraId="56ACCF7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2247" w14:textId="37CB9819" w:rsidR="00A52027" w:rsidRPr="00A52027" w:rsidRDefault="003728B0" w:rsidP="003728B0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sources of income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005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0D7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1.6%</w:t>
            </w:r>
          </w:p>
        </w:tc>
      </w:tr>
      <w:tr w:rsidR="00A52027" w:rsidRPr="00A52027" w14:paraId="2633D0D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EF3A6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F9B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26EA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3043429</w:t>
            </w:r>
          </w:p>
        </w:tc>
      </w:tr>
      <w:tr w:rsidR="00A52027" w:rsidRPr="00A52027" w14:paraId="02D44145" w14:textId="77777777" w:rsidTr="008453DF">
        <w:trPr>
          <w:trHeight w:val="257"/>
        </w:trPr>
        <w:tc>
          <w:tcPr>
            <w:tcW w:w="9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051F" w14:textId="69E29252" w:rsidR="00A52027" w:rsidRPr="00A52027" w:rsidRDefault="003D1EEC" w:rsidP="003D1EE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Living Conditions</w:t>
            </w:r>
          </w:p>
        </w:tc>
      </w:tr>
      <w:tr w:rsidR="00A52027" w:rsidRPr="00A52027" w14:paraId="3F300F2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A0BA" w14:textId="569DD9DB" w:rsidR="00A52027" w:rsidRPr="00A52027" w:rsidRDefault="00417CEE" w:rsidP="00417CEE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Replaces at least a part of old clothes with brand new clothes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BCF0" w14:textId="4B2418A4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2AF6" w14:textId="127F50B8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52F9951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7209" w14:textId="1F3419D9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8A7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31.9%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4D0C" w14:textId="166BCB8C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163B398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2AA8" w14:textId="45D7A698" w:rsidR="00A52027" w:rsidRPr="00A52027" w:rsidRDefault="00A645F0" w:rsidP="00C72B6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A52027" w:rsidRPr="00A52027">
              <w:rPr>
                <w:rFonts w:ascii="Times New Roman" w:hAnsi="Times New Roman" w:cs="Times New Roman"/>
              </w:rPr>
              <w:t xml:space="preserve">, </w:t>
            </w:r>
            <w:r w:rsidR="00C72B61">
              <w:rPr>
                <w:rFonts w:ascii="Times New Roman" w:hAnsi="Times New Roman" w:cs="Times New Roman"/>
              </w:rPr>
              <w:t>can’t afford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5BA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67.5%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E43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eastAsia="Arial" w:hAnsi="Times New Roman" w:cs="Times New Roman"/>
              </w:rPr>
              <w:t>24.0%</w:t>
            </w:r>
          </w:p>
        </w:tc>
      </w:tr>
      <w:tr w:rsidR="00A52027" w:rsidRPr="00A52027" w14:paraId="681E7C8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82D9" w14:textId="266148A6" w:rsidR="00A52027" w:rsidRPr="00A52027" w:rsidRDefault="00A645F0" w:rsidP="00C72B6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A52027" w:rsidRPr="00A52027">
              <w:rPr>
                <w:rFonts w:ascii="Times New Roman" w:hAnsi="Times New Roman" w:cs="Times New Roman"/>
              </w:rPr>
              <w:t xml:space="preserve">, </w:t>
            </w:r>
            <w:r w:rsidR="00C72B61">
              <w:rPr>
                <w:rFonts w:ascii="Times New Roman" w:hAnsi="Times New Roman" w:cs="Times New Roman"/>
              </w:rPr>
              <w:t>other reason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AF61" w14:textId="77777777" w:rsidR="00A52027" w:rsidRPr="00A52027" w:rsidRDefault="008145A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27" w:rsidRPr="00A52027">
              <w:rPr>
                <w:rFonts w:ascii="Times New Roman" w:hAnsi="Times New Roman" w:cs="Times New Roman"/>
              </w:rPr>
              <w:t>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C91E" w14:textId="1A88CF78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4B2FA5A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582D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B05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7BA2" w14:textId="4C04CBD9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5D88FB9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2F386" w14:textId="006BB86A" w:rsidR="00A52027" w:rsidRPr="00A52027" w:rsidRDefault="00417CEE" w:rsidP="00417CEE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Has two pairs of adequate shoes, one for</w:t>
            </w:r>
            <w:r w:rsidR="00DA1E68">
              <w:rPr>
                <w:rFonts w:ascii="Times New Roman" w:hAnsi="Times New Roman" w:cs="Times New Roman"/>
                <w:b/>
                <w:bCs/>
              </w:rPr>
              <w:t xml:space="preserve"> the cold, another for the warm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season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562F" w14:textId="28C80695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48AD" w14:textId="5722B8CE" w:rsidR="00A52027" w:rsidRPr="00A52027" w:rsidRDefault="001D7DAF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3A8ABFD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1170" w14:textId="5271307C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EA1F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50.2%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B1F4" w14:textId="63B132BE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56A7B050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ACDE" w14:textId="7188FDF0" w:rsidR="00A52027" w:rsidRPr="00A52027" w:rsidRDefault="00A645F0" w:rsidP="00484A5B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A52027" w:rsidRPr="00A52027">
              <w:rPr>
                <w:rFonts w:ascii="Times New Roman" w:hAnsi="Times New Roman" w:cs="Times New Roman"/>
              </w:rPr>
              <w:t xml:space="preserve">, </w:t>
            </w:r>
            <w:r w:rsidR="00484A5B">
              <w:rPr>
                <w:rFonts w:ascii="Times New Roman" w:hAnsi="Times New Roman" w:cs="Times New Roman"/>
              </w:rPr>
              <w:t>can’t afford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BF3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48.5%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FFC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2.0%</w:t>
            </w:r>
          </w:p>
        </w:tc>
      </w:tr>
      <w:tr w:rsidR="00A52027" w:rsidRPr="00A52027" w14:paraId="69EB7CC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3D549" w14:textId="494940B3" w:rsidR="00A52027" w:rsidRPr="00A52027" w:rsidRDefault="00A645F0" w:rsidP="00484A5B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A52027" w:rsidRPr="00A52027">
              <w:rPr>
                <w:rFonts w:ascii="Times New Roman" w:hAnsi="Times New Roman" w:cs="Times New Roman"/>
              </w:rPr>
              <w:t xml:space="preserve">, </w:t>
            </w:r>
            <w:r w:rsidR="00484A5B">
              <w:rPr>
                <w:rFonts w:ascii="Times New Roman" w:hAnsi="Times New Roman" w:cs="Times New Roman"/>
              </w:rPr>
              <w:t>other reason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44C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AE67" w14:textId="04DC5421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384EFE6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EFCEB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8B4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F132" w14:textId="3577D25F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5D167E0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9D58" w14:textId="44DF13C8" w:rsidR="00A52027" w:rsidRPr="00A52027" w:rsidRDefault="0099576F" w:rsidP="0099576F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Every week s</w:t>
            </w:r>
            <w:r w:rsidR="00417CEE">
              <w:rPr>
                <w:rFonts w:ascii="Times New Roman" w:hAnsi="Times New Roman" w:cs="Times New Roman"/>
                <w:b/>
                <w:bCs/>
              </w:rPr>
              <w:t xml:space="preserve">pends a small amount </w:t>
            </w:r>
            <w:r>
              <w:rPr>
                <w:rFonts w:ascii="Times New Roman" w:hAnsi="Times New Roman" w:cs="Times New Roman"/>
                <w:b/>
                <w:bCs/>
              </w:rPr>
              <w:t>for his/her own needs without consulting with other family members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1056" w14:textId="421787F1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8524" w14:textId="79732EE7" w:rsidR="00A52027" w:rsidRPr="00A52027" w:rsidRDefault="001D7DAF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7E5E495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FAF4" w14:textId="3D6FE2CA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2F8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C2BA" w14:textId="14A458CA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2FE8866E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4EEE" w14:textId="75B2319E" w:rsidR="00A52027" w:rsidRPr="00A52027" w:rsidRDefault="00A645F0" w:rsidP="0099576F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</w:t>
            </w:r>
            <w:r w:rsidR="00A52027" w:rsidRPr="00A52027">
              <w:rPr>
                <w:rFonts w:ascii="Times New Roman" w:hAnsi="Times New Roman" w:cs="Times New Roman"/>
              </w:rPr>
              <w:t xml:space="preserve">, </w:t>
            </w:r>
            <w:r w:rsidR="0099576F">
              <w:rPr>
                <w:rFonts w:ascii="Times New Roman" w:hAnsi="Times New Roman" w:cs="Times New Roman"/>
              </w:rPr>
              <w:t>can’t afford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A15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68.1%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EFE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25.0 %</w:t>
            </w:r>
          </w:p>
        </w:tc>
      </w:tr>
      <w:tr w:rsidR="00A52027" w:rsidRPr="00A52027" w14:paraId="4974BAA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054D" w14:textId="6FEF4F9E" w:rsidR="00A52027" w:rsidRPr="00A52027" w:rsidRDefault="00A645F0" w:rsidP="0099576F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A52027" w:rsidRPr="00A52027">
              <w:rPr>
                <w:rFonts w:ascii="Times New Roman" w:hAnsi="Times New Roman" w:cs="Times New Roman"/>
              </w:rPr>
              <w:t xml:space="preserve">, </w:t>
            </w:r>
            <w:r w:rsidR="0099576F">
              <w:rPr>
                <w:rFonts w:ascii="Times New Roman" w:hAnsi="Times New Roman" w:cs="Times New Roman"/>
              </w:rPr>
              <w:t>other reason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1E9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27A4" w14:textId="0DE2AADB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21D842B0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B772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F3FE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FA5A" w14:textId="4F538703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71022CC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1450" w14:textId="67F88150" w:rsidR="00A52027" w:rsidRPr="00A52027" w:rsidRDefault="0099576F" w:rsidP="0099576F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Has internet access for personal use at home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E148" w14:textId="4EB85EC0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650B" w14:textId="34B38726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7499B95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1A65" w14:textId="54AA55C6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8CC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34.0%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74E7" w14:textId="15844C03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511A3EB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8A011" w14:textId="39023C33" w:rsidR="00A52027" w:rsidRPr="00A52027" w:rsidRDefault="00A645F0" w:rsidP="0099576F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A52027" w:rsidRPr="00A52027">
              <w:rPr>
                <w:rFonts w:ascii="Times New Roman" w:hAnsi="Times New Roman" w:cs="Times New Roman"/>
              </w:rPr>
              <w:t xml:space="preserve">, </w:t>
            </w:r>
            <w:r w:rsidR="0099576F">
              <w:rPr>
                <w:rFonts w:ascii="Times New Roman" w:hAnsi="Times New Roman" w:cs="Times New Roman"/>
              </w:rPr>
              <w:t>can’t afford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751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56.1%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765B" w14:textId="2BD8D4B0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14F19B9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2BDA" w14:textId="27B59C30" w:rsidR="00A52027" w:rsidRPr="00A52027" w:rsidRDefault="00A645F0" w:rsidP="0099576F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A52027" w:rsidRPr="00A52027">
              <w:rPr>
                <w:rFonts w:ascii="Times New Roman" w:hAnsi="Times New Roman" w:cs="Times New Roman"/>
              </w:rPr>
              <w:t xml:space="preserve">, </w:t>
            </w:r>
            <w:r w:rsidR="0099576F">
              <w:rPr>
                <w:rFonts w:ascii="Times New Roman" w:hAnsi="Times New Roman" w:cs="Times New Roman"/>
              </w:rPr>
              <w:t>other reason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329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9.9%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E5ED" w14:textId="77219E4B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203ABDF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2902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DED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788E" w14:textId="4578ED64" w:rsidR="00A52027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52027" w:rsidRPr="00A52027" w14:paraId="3EEFD7C9" w14:textId="77777777" w:rsidTr="008453DF">
        <w:trPr>
          <w:trHeight w:val="257"/>
        </w:trPr>
        <w:tc>
          <w:tcPr>
            <w:tcW w:w="9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B462" w14:textId="234A790F" w:rsidR="00A52027" w:rsidRPr="00A52027" w:rsidRDefault="0099576F" w:rsidP="0099576F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Health</w:t>
            </w:r>
            <w:r w:rsidR="00A52027" w:rsidRPr="00A52027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adults</w:t>
            </w:r>
            <w:r w:rsidR="00A52027" w:rsidRPr="00A5202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52027" w:rsidRPr="00A52027" w14:paraId="0DCA7D5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61F1A" w14:textId="1F8BFE72" w:rsidR="00A52027" w:rsidRPr="00A52027" w:rsidRDefault="0099576F" w:rsidP="0099576F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health status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DD32" w14:textId="4AEB746B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9C35" w14:textId="561E49DF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2DB004E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3AA8" w14:textId="0EB2D82D" w:rsidR="00A52027" w:rsidRPr="00A52027" w:rsidRDefault="0099576F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1BA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4FE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5.8%</w:t>
            </w:r>
          </w:p>
        </w:tc>
      </w:tr>
      <w:tr w:rsidR="00A52027" w:rsidRPr="00A52027" w14:paraId="24526BD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8775" w14:textId="1DC0EA70" w:rsidR="00A52027" w:rsidRPr="00A52027" w:rsidRDefault="0099576F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766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37.2%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6AF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29.5%</w:t>
            </w:r>
          </w:p>
        </w:tc>
      </w:tr>
      <w:tr w:rsidR="00A52027" w:rsidRPr="00A52027" w14:paraId="20BADFE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E6BA" w14:textId="0D461C6A" w:rsidR="00A52027" w:rsidRPr="00A52027" w:rsidRDefault="0099576F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311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30.7%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BF5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42.2%</w:t>
            </w:r>
          </w:p>
        </w:tc>
      </w:tr>
      <w:tr w:rsidR="00A52027" w:rsidRPr="00A52027" w14:paraId="08BAA37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4C3A" w14:textId="47985921" w:rsidR="00A52027" w:rsidRPr="00A52027" w:rsidRDefault="0099576F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267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18.6%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4B1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18.4%</w:t>
            </w:r>
          </w:p>
        </w:tc>
      </w:tr>
      <w:tr w:rsidR="00A52027" w:rsidRPr="00A52027" w14:paraId="617483F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24EE" w14:textId="74DE4704" w:rsidR="00A52027" w:rsidRPr="00A52027" w:rsidRDefault="0099576F" w:rsidP="0099576F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poor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C5B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10.0%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855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4.1%</w:t>
            </w:r>
          </w:p>
        </w:tc>
      </w:tr>
      <w:tr w:rsidR="00A52027" w:rsidRPr="00A52027" w14:paraId="6129984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A1DF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C261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B8F6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eastAsia="Arial" w:hAnsi="Times New Roman" w:cs="Times New Roman"/>
              </w:rPr>
              <w:t>8195</w:t>
            </w:r>
          </w:p>
        </w:tc>
      </w:tr>
      <w:tr w:rsidR="00A52027" w:rsidRPr="00A52027" w14:paraId="4706579E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8648" w14:textId="3631321B" w:rsidR="00A52027" w:rsidRPr="00A52027" w:rsidRDefault="0099576F" w:rsidP="0099576F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Has </w:t>
            </w:r>
            <w:r w:rsidR="00BA4328">
              <w:rPr>
                <w:rFonts w:ascii="Times New Roman" w:hAnsi="Times New Roman" w:cs="Times New Roman"/>
                <w:b/>
                <w:bCs/>
              </w:rPr>
              <w:t>a chronic disease or other long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term health condition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32B42" w14:textId="70A611F1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582B" w14:textId="148AB53C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52582A4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14C0" w14:textId="72873AD1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4E71C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50.0%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037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37.2%</w:t>
            </w:r>
          </w:p>
        </w:tc>
      </w:tr>
      <w:tr w:rsidR="00A52027" w:rsidRPr="00A52027" w14:paraId="398A3940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5F15" w14:textId="6F88B117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685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50.0%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D46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62.8%</w:t>
            </w:r>
          </w:p>
        </w:tc>
      </w:tr>
      <w:tr w:rsidR="00A52027" w:rsidRPr="00A52027" w14:paraId="4ED2500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312F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27EE4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A7C0" w14:textId="4B37F396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10</w:t>
            </w:r>
            <w:r w:rsidR="007236DC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242</w:t>
            </w:r>
          </w:p>
        </w:tc>
      </w:tr>
      <w:tr w:rsidR="00A52027" w:rsidRPr="00A52027" w14:paraId="40491EA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2B15" w14:textId="68B46D93" w:rsidR="00A52027" w:rsidRPr="00A52027" w:rsidRDefault="00BA4328" w:rsidP="00BA4328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Health-related restrictions on activity for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 months or longer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CA74" w14:textId="02BE1A2C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8781" w14:textId="3743AC2F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2A04228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9CEC0" w14:textId="3CF37C79" w:rsidR="00A52027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much restricted</w:t>
            </w:r>
            <w:r w:rsidR="00A52027" w:rsidRPr="00A520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6CAC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31.7%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E2E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9.9%</w:t>
            </w:r>
          </w:p>
        </w:tc>
      </w:tr>
      <w:tr w:rsidR="00A52027" w:rsidRPr="00A52027" w14:paraId="2BFF98D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174A" w14:textId="313E8515" w:rsidR="00A52027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 restricted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5CF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31.0%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EC36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21.9%</w:t>
            </w:r>
          </w:p>
        </w:tc>
      </w:tr>
      <w:tr w:rsidR="00A52027" w:rsidRPr="00A52027" w14:paraId="2D33A3B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B6BE" w14:textId="02DC070E" w:rsidR="00A52027" w:rsidRPr="00A52027" w:rsidRDefault="0037014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DB63C4">
              <w:rPr>
                <w:rFonts w:ascii="Times New Roman" w:hAnsi="Times New Roman" w:cs="Times New Roman"/>
              </w:rPr>
              <w:t xml:space="preserve"> restrictions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5EC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37.4%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DF2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68.2%</w:t>
            </w:r>
          </w:p>
        </w:tc>
      </w:tr>
      <w:tr w:rsidR="00A52027" w:rsidRPr="00A52027" w14:paraId="2113B89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970D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9E3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C12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10263</w:t>
            </w:r>
          </w:p>
        </w:tc>
      </w:tr>
      <w:tr w:rsidR="00A52027" w:rsidRPr="00A52027" w14:paraId="6D2E9200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D812" w14:textId="2D606891" w:rsidR="00A52027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Was there at least one case over the last 12 months when you did not receive medical attention or treatment (except dental care)?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E223" w14:textId="4A43969B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2A03" w14:textId="3CB98542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21A1A90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ECD5" w14:textId="14EBE808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715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23.2%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AE6F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5.1%</w:t>
            </w:r>
          </w:p>
        </w:tc>
      </w:tr>
      <w:tr w:rsidR="00A52027" w:rsidRPr="00A52027" w14:paraId="459F05F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16B5" w14:textId="500E29E3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FB3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76.8%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4DB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94.9%</w:t>
            </w:r>
          </w:p>
        </w:tc>
      </w:tr>
      <w:tr w:rsidR="00A52027" w:rsidRPr="00A52027" w14:paraId="6D63C90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DB4E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FB81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583D" w14:textId="3C88AEAA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10</w:t>
            </w:r>
            <w:r w:rsidR="007236DC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264</w:t>
            </w:r>
          </w:p>
        </w:tc>
      </w:tr>
      <w:tr w:rsidR="00A52027" w:rsidRPr="00A52027" w14:paraId="11C42890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0D55" w14:textId="51A63C0F" w:rsidR="00A52027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What were the reasons for not receiving medical attention or treament (except dental care)</w:t>
            </w:r>
            <w:r w:rsidR="00A61FBD">
              <w:rPr>
                <w:rFonts w:ascii="Times New Roman" w:hAnsi="Times New Roman" w:cs="Times New Roman"/>
                <w:b/>
                <w:bCs/>
              </w:rPr>
              <w:t>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34F91" w14:textId="6E9EA860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57C6" w14:textId="32D5B3E9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2F19D0E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E9CA" w14:textId="31EC1B1B" w:rsidR="00A52027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Could not afford (too expensive)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BD2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25.8%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B5C88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12.4%</w:t>
            </w:r>
          </w:p>
        </w:tc>
      </w:tr>
      <w:tr w:rsidR="00A52027" w:rsidRPr="00A52027" w14:paraId="3E90437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25BB" w14:textId="1597C405" w:rsidR="00A52027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Long waiting time (difficult to get an appointment or referral, etc.)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3B6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85276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45.7%</w:t>
            </w:r>
          </w:p>
        </w:tc>
      </w:tr>
      <w:tr w:rsidR="00A52027" w:rsidRPr="00A52027" w14:paraId="2D03DF90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35AE" w14:textId="6E265578" w:rsidR="00A52027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Lack of time </w:t>
            </w:r>
            <w:r w:rsidR="00A52027" w:rsidRPr="00A520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job, child care, etc.)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262F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24.2%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A7F9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4.7%</w:t>
            </w:r>
          </w:p>
        </w:tc>
      </w:tr>
      <w:tr w:rsidR="00A52027" w:rsidRPr="00A52027" w14:paraId="66DA474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6491" w14:textId="402AC07C" w:rsidR="00A52027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Too far to go, no tranposrt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CC9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B1D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6.4%</w:t>
            </w:r>
          </w:p>
        </w:tc>
      </w:tr>
      <w:tr w:rsidR="00A52027" w:rsidRPr="00A52027" w14:paraId="5E8F039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0A8B" w14:textId="5138CC65" w:rsidR="00A52027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Fear of doctors, hospitals, tests, treatment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71D3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25.8%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AB1B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1.4%</w:t>
            </w:r>
          </w:p>
        </w:tc>
      </w:tr>
      <w:tr w:rsidR="00A52027" w:rsidRPr="00A52027" w14:paraId="78EA1D0D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E7CA" w14:textId="0512DDA2" w:rsidR="00A52027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Wanted to wait hoping that the problem would go away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F6B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12.1%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A001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29.1%</w:t>
            </w:r>
          </w:p>
        </w:tc>
      </w:tr>
      <w:tr w:rsidR="00A52027" w:rsidRPr="00A52027" w14:paraId="748A2FA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81FE" w14:textId="5A848C1A" w:rsidR="00A52027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know any good doctor or specialist</w:t>
            </w:r>
            <w:r w:rsidR="00A52027" w:rsidRPr="00A520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DA4C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541A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.4%</w:t>
            </w:r>
          </w:p>
        </w:tc>
      </w:tr>
      <w:tr w:rsidR="00A52027" w:rsidRPr="00A52027" w14:paraId="034E117E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2FB12" w14:textId="526FFD97" w:rsidR="00A52027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reasons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E6D7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7EFA" w14:textId="77777777" w:rsidR="00A52027" w:rsidRPr="00A52027" w:rsidRDefault="00A52027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0.0%</w:t>
            </w:r>
          </w:p>
        </w:tc>
      </w:tr>
      <w:tr w:rsidR="00A52027" w:rsidRPr="00A52027" w14:paraId="79EB398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CBFD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921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12DEA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516</w:t>
            </w:r>
          </w:p>
        </w:tc>
      </w:tr>
      <w:tr w:rsidR="00A52027" w:rsidRPr="00A52027" w14:paraId="7E9EE8E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FF5A" w14:textId="3EE3814A" w:rsidR="00A52027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Was there at least one case over the last 12 months when you did not receive dental care services?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F258" w14:textId="55779C3E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A52027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DADB" w14:textId="080C378A" w:rsidR="00A52027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2027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A52027" w:rsidRPr="00A52027" w14:paraId="579CA7C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0FD0" w14:textId="32DAE897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6320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29.8%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7DD2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4.9%</w:t>
            </w:r>
          </w:p>
        </w:tc>
      </w:tr>
      <w:tr w:rsidR="00A52027" w:rsidRPr="00A52027" w14:paraId="151A4E9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1407" w14:textId="5E29DCCD" w:rsidR="00A52027" w:rsidRPr="00A52027" w:rsidRDefault="00A645F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1EFD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70.2%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D6EE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95.1%</w:t>
            </w:r>
          </w:p>
        </w:tc>
      </w:tr>
      <w:tr w:rsidR="00A52027" w:rsidRPr="00A52027" w14:paraId="55E7B34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C083" w14:textId="77777777" w:rsidR="00A52027" w:rsidRPr="00A52027" w:rsidRDefault="00A52027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2A45" w14:textId="77777777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7A40" w14:textId="62A17C2F" w:rsidR="00A52027" w:rsidRPr="00A52027" w:rsidRDefault="00A52027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10</w:t>
            </w:r>
            <w:r w:rsidR="007236DC">
              <w:rPr>
                <w:rFonts w:ascii="Times New Roman" w:hAnsi="Times New Roman" w:cs="Times New Roman"/>
              </w:rPr>
              <w:t>,</w:t>
            </w:r>
            <w:r w:rsidRPr="00A52027">
              <w:rPr>
                <w:rFonts w:ascii="Times New Roman" w:hAnsi="Times New Roman" w:cs="Times New Roman"/>
              </w:rPr>
              <w:t>226</w:t>
            </w:r>
          </w:p>
        </w:tc>
      </w:tr>
      <w:tr w:rsidR="00DB63C4" w:rsidRPr="00A52027" w14:paraId="21D7529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59651" w14:textId="4AFCC40D" w:rsidR="00DB63C4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What were the reasons for not receiving dental care services?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6E02" w14:textId="4A133BE3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E844" w14:textId="506DDE80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B63C4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DB63C4" w:rsidRPr="00A52027" w14:paraId="0171659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5B80" w14:textId="0C05C886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Could not afford (too expensive)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311E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50.0%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09CA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71.3%</w:t>
            </w:r>
          </w:p>
        </w:tc>
      </w:tr>
      <w:tr w:rsidR="00DB63C4" w:rsidRPr="00A52027" w14:paraId="61E6C0D4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6E0C" w14:textId="3F39D316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Long waiting time (difficult to get an appointment or referral, etc.)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C4A9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67F9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18.6%</w:t>
            </w:r>
          </w:p>
        </w:tc>
      </w:tr>
      <w:tr w:rsidR="00DB63C4" w:rsidRPr="00A52027" w14:paraId="4E344ED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6B24" w14:textId="15D2EEC8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Lack of time </w:t>
            </w:r>
            <w:r w:rsidRPr="00A520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job, child care, etc.)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3406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8C0A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1.0%</w:t>
            </w:r>
          </w:p>
        </w:tc>
      </w:tr>
      <w:tr w:rsidR="00DB63C4" w:rsidRPr="00A52027" w14:paraId="0BAD77F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A8F0" w14:textId="3DA101B2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Too far to go, no tranposrt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D68F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D77C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1.8%</w:t>
            </w:r>
          </w:p>
        </w:tc>
      </w:tr>
      <w:tr w:rsidR="00DB63C4" w:rsidRPr="00A52027" w14:paraId="413324E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9A0C" w14:textId="56D719EA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Fear of doctors, hospitals, tests, treatment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8B3C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32.1%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6492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1.4%</w:t>
            </w:r>
          </w:p>
        </w:tc>
      </w:tr>
      <w:tr w:rsidR="00DB63C4" w:rsidRPr="00A52027" w14:paraId="675751D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B963" w14:textId="3B8C3ACC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Wanted to wait hoping that the problem would go away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F463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699C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4.7%</w:t>
            </w:r>
          </w:p>
        </w:tc>
      </w:tr>
      <w:tr w:rsidR="00DB63C4" w:rsidRPr="00A52027" w14:paraId="699DE07D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CCDCD" w14:textId="7A20A0CF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know any good doctor or specialist</w:t>
            </w:r>
            <w:r w:rsidRPr="00A520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F9A0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6C42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0%</w:t>
            </w:r>
          </w:p>
        </w:tc>
      </w:tr>
      <w:tr w:rsidR="00DB63C4" w:rsidRPr="00A52027" w14:paraId="6413FE9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044F" w14:textId="5A008FE9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reasons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2FED" w14:textId="77777777" w:rsidR="00DB63C4" w:rsidRPr="00A52027" w:rsidRDefault="00DB63C4" w:rsidP="008145A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8026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1.2%</w:t>
            </w:r>
          </w:p>
        </w:tc>
      </w:tr>
      <w:tr w:rsidR="00DB63C4" w:rsidRPr="00A52027" w14:paraId="2331B11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611D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8973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DA9F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eastAsia="Arial" w:hAnsi="Times New Roman" w:cs="Times New Roman"/>
              </w:rPr>
              <w:t>494</w:t>
            </w:r>
          </w:p>
        </w:tc>
      </w:tr>
      <w:tr w:rsidR="00DB63C4" w:rsidRPr="00A52027" w14:paraId="0918614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D8EE" w14:textId="56DFC9DD" w:rsidR="00DB63C4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 w:rsidRPr="00A52027">
              <w:rPr>
                <w:rFonts w:ascii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 you covered by the compulsory health insurance?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F0B0" w14:textId="1B7238A7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5BB2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0D7B622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C1AE" w14:textId="43D4FEB0" w:rsidR="00DB63C4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Yes, I am insured by the state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E9DE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78.2%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CDF2" w14:textId="142A8094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7F73743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5692" w14:textId="3DA3F06C" w:rsidR="00DB63C4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Pr="00A5202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I am insured by the employer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082B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0707" w14:textId="59BB9C8E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295245B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C95D" w14:textId="424F3A46" w:rsidR="00DB63C4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No, I am not covered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A4AB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13.8%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EA39" w14:textId="66606C8A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1610C0C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EA2B" w14:textId="0E033B54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know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5D02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EEBE" w14:textId="15F7B7D7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5B1E5A4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25ED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BF34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2FA04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00BA2527" w14:textId="77777777" w:rsidTr="008453DF">
        <w:trPr>
          <w:trHeight w:val="257"/>
        </w:trPr>
        <w:tc>
          <w:tcPr>
            <w:tcW w:w="9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FBB5" w14:textId="7A40BE08" w:rsidR="00DB63C4" w:rsidRPr="00A52027" w:rsidRDefault="00DB63C4" w:rsidP="00DB63C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Health</w:t>
            </w:r>
            <w:r w:rsidRPr="00A52027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children</w:t>
            </w:r>
            <w:r w:rsidRPr="00A52027">
              <w:rPr>
                <w:rFonts w:ascii="Times New Roman" w:hAnsi="Times New Roman" w:cs="Times New Roman"/>
                <w:b/>
                <w:bCs/>
              </w:rPr>
              <w:t>)</w:t>
            </w:r>
            <w:r w:rsidRPr="00A52027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1"/>
            </w:r>
          </w:p>
        </w:tc>
      </w:tr>
      <w:tr w:rsidR="00DB63C4" w:rsidRPr="00A52027" w14:paraId="0E770FD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FE6D8" w14:textId="58C3694E" w:rsidR="00DB63C4" w:rsidRPr="00A52027" w:rsidRDefault="00DB63C4" w:rsidP="00DB63C4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healt status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9D3F" w14:textId="3A0CBFBE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68BE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3C4" w:rsidRPr="00A52027" w14:paraId="0F247CE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D4F9" w14:textId="63FEE7EF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FF78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5C1C" w14:textId="4F71B97E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221A2D2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B45C" w14:textId="4225E7C6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E11F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60.9%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48D8" w14:textId="06A8DB98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7EDE1F2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40B3" w14:textId="0E5A3F39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FA94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21.3%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DAA7" w14:textId="0286D911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1CC8501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A10B" w14:textId="7C043B95" w:rsidR="00DB63C4" w:rsidRPr="00A52027" w:rsidRDefault="0037014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F68B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FA47" w14:textId="2452DA04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54EC8C5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0ABF" w14:textId="3678560F" w:rsidR="00DB63C4" w:rsidRPr="00A52027" w:rsidRDefault="0037014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poor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2869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3AFB" w14:textId="420EDAD6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77F69AD4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F72A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9C3C5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61A4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5404541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B771" w14:textId="7A08B476" w:rsidR="00DB63C4" w:rsidRPr="00A52027" w:rsidRDefault="00370140" w:rsidP="00A52027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Has a chronic disease or other long term health condition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50C7" w14:textId="189B59E2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BD42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5ED80414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91EE" w14:textId="746412D5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2B4F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21.3%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32FE" w14:textId="1D49DD6D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3E805C6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49E3" w14:textId="31ADC1B8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3C0B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78.7%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3CC7" w14:textId="30E25481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0854C9EE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F1DF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EE06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393E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4DC0E09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7119" w14:textId="0D0765CE" w:rsidR="00DB63C4" w:rsidRPr="00A52027" w:rsidRDefault="00370140" w:rsidP="00A52027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Health-related restrictions on activity for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 months or longer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AA6B" w14:textId="508ED2ED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98A6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140" w:rsidRPr="00A52027" w14:paraId="7C64E58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A55F" w14:textId="3900B03A" w:rsidR="00370140" w:rsidRPr="00A52027" w:rsidRDefault="0037014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much restricted</w:t>
            </w:r>
            <w:r w:rsidRPr="00A520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3282" w14:textId="77777777" w:rsidR="00370140" w:rsidRPr="00A52027" w:rsidRDefault="00370140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13.5%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8EF3" w14:textId="5EA46041" w:rsidR="00370140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370140" w:rsidRPr="00A52027" w14:paraId="3139270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6EEA" w14:textId="34D43287" w:rsidR="00370140" w:rsidRPr="00A52027" w:rsidRDefault="0037014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 restricted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D3F6" w14:textId="77777777" w:rsidR="00370140" w:rsidRPr="00A52027" w:rsidRDefault="00370140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30.6%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4CC0" w14:textId="1BA8B565" w:rsidR="00370140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370140" w:rsidRPr="00A52027" w14:paraId="254412BE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44F6" w14:textId="35E6ACE9" w:rsidR="00370140" w:rsidRPr="00A52027" w:rsidRDefault="00370140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restrictions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7B65" w14:textId="77777777" w:rsidR="00370140" w:rsidRPr="00A52027" w:rsidRDefault="00370140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55.9%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8611" w14:textId="67BA4AE4" w:rsidR="00370140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62C7F4B0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D153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2FE0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6C3B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21F7786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FB4D" w14:textId="7BE5DD0E" w:rsidR="00DB63C4" w:rsidRPr="00A52027" w:rsidRDefault="00AC0003" w:rsidP="00AC0003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Was there at least one case over the last 12 months when you did not receive medical attention or treatment (except dental care)?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7A04" w14:textId="088C9610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920B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213CEB6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1E68C" w14:textId="55E535E0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635F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1D8A" w14:textId="2AC0C5DB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4FDDDD1E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D2EC" w14:textId="4B8761EB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7A28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93.8%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22E0" w14:textId="1F1D6F86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3B87D04F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9767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F32D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FE5B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5BCB8D8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4C13" w14:textId="30AEC77C" w:rsidR="00DB63C4" w:rsidRPr="00A52027" w:rsidRDefault="00A61FBD" w:rsidP="00A61FBD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What were the reasons for not receiving medical attention or treament (except dental care)?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6BE3" w14:textId="1758AFD8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CE63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FBD" w:rsidRPr="00A52027" w14:paraId="0FC914E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1430" w14:textId="4E69F6D4" w:rsidR="00A61FBD" w:rsidRPr="00A52027" w:rsidRDefault="00A61FBD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Could not afford (too expensive)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4C5A" w14:textId="77777777" w:rsidR="00A61FBD" w:rsidRPr="00A52027" w:rsidRDefault="00A61FBD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0D82" w14:textId="4F69CBCE" w:rsidR="00A61FBD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61FBD" w:rsidRPr="00A52027" w14:paraId="25EE302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0815" w14:textId="6E31800A" w:rsidR="00A61FBD" w:rsidRPr="00A52027" w:rsidRDefault="00A61FBD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Long waiting time (difficult to get an appointment or referral, etc.)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9C946" w14:textId="77777777" w:rsidR="00A61FBD" w:rsidRPr="00A52027" w:rsidRDefault="00A61FBD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4C62" w14:textId="609001CB" w:rsidR="00A61FBD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61FBD" w:rsidRPr="00A52027" w14:paraId="1B49A4B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3F3B" w14:textId="149E99DF" w:rsidR="00A61FBD" w:rsidRPr="00A52027" w:rsidRDefault="00A61FBD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Too far to go, no tranposrt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85F6" w14:textId="77777777" w:rsidR="00A61FBD" w:rsidRPr="00A52027" w:rsidRDefault="00A61FBD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0BCE" w14:textId="4BDDAD00" w:rsidR="00A61FBD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61FBD" w:rsidRPr="00A52027" w14:paraId="0795059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FA3C" w14:textId="42C9A8D5" w:rsidR="00A61FBD" w:rsidRPr="00A52027" w:rsidRDefault="00A61FBD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Fear of doctors, hospitals, tests, treatment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D65F" w14:textId="77777777" w:rsidR="00A61FBD" w:rsidRPr="00A52027" w:rsidRDefault="00A61FBD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B6AE" w14:textId="26BF1228" w:rsidR="00A61FBD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A61FBD" w:rsidRPr="00A52027" w14:paraId="04B7256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ECD5" w14:textId="46E5A6AF" w:rsidR="00A61FBD" w:rsidRPr="00A52027" w:rsidRDefault="00A61FBD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Wanted to wait hoping that the problem would go away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A110" w14:textId="77777777" w:rsidR="00A61FBD" w:rsidRPr="00A52027" w:rsidRDefault="00A61FBD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23.1%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BC0E" w14:textId="21E92685" w:rsidR="00A61FBD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6C2133D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A7E0" w14:textId="52F5A896" w:rsidR="00DB63C4" w:rsidRPr="00A52027" w:rsidRDefault="00A61FBD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reasons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E13E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46.2%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C917" w14:textId="6D6F5DB8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5E186040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4877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CEAE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ADB2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4B8F97B4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683D" w14:textId="487E929E" w:rsidR="00DB63C4" w:rsidRPr="00A52027" w:rsidRDefault="005A6322" w:rsidP="005A6322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Was there at least one case over the last 12 months when you did not receive dental care services?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E911" w14:textId="0B073CC9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0326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726DA68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B87E" w14:textId="168C01E2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AD63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8.9%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9337" w14:textId="0504D221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3792D1AD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A8B7E" w14:textId="6C89A086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43C2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91.1%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1B01" w14:textId="3BDE6527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4BC92754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2AB4C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4718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E3E4F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3946533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980E" w14:textId="7FCF885E" w:rsidR="00DB63C4" w:rsidRPr="00A52027" w:rsidRDefault="005A6322" w:rsidP="00A52027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What were the reasons for not receiving dental care services?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496B" w14:textId="1ADC8867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8348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322" w:rsidRPr="00A52027" w14:paraId="48B6CE1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9089" w14:textId="50913E41" w:rsidR="005A6322" w:rsidRPr="00A52027" w:rsidRDefault="005A6322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Could not afford (too expensive)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BCC6" w14:textId="77777777" w:rsidR="005A6322" w:rsidRPr="00A52027" w:rsidRDefault="005A6322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10.0%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CC14" w14:textId="465D9F49" w:rsidR="005A6322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5A6322" w:rsidRPr="00A52027" w14:paraId="55D9F79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C41DC" w14:textId="0E80BACE" w:rsidR="005A6322" w:rsidRPr="00A52027" w:rsidRDefault="005A6322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Long waiting time (difficult to get an appointment or referral, etc.)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6D09" w14:textId="77777777" w:rsidR="005A6322" w:rsidRPr="00A52027" w:rsidRDefault="005A6322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E37C" w14:textId="776F4D4F" w:rsidR="005A6322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5A6322" w:rsidRPr="00A52027" w14:paraId="74DDDD1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689E" w14:textId="227BB411" w:rsidR="005A6322" w:rsidRPr="00A52027" w:rsidRDefault="005A6322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Too far to go, no tranposrt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414D" w14:textId="77777777" w:rsidR="005A6322" w:rsidRPr="00A52027" w:rsidRDefault="005A6322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00E2" w14:textId="07D6C703" w:rsidR="005A6322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5A6322" w:rsidRPr="00A52027" w14:paraId="012A6C21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2A13" w14:textId="684175FD" w:rsidR="005A6322" w:rsidRPr="00A52027" w:rsidRDefault="005A6322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Fear of doctors, hospitals, tests, treatment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1003" w14:textId="77777777" w:rsidR="005A6322" w:rsidRPr="00A52027" w:rsidRDefault="005A6322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45.0%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3FB3" w14:textId="13824034" w:rsidR="005A6322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5A6322" w:rsidRPr="00A52027" w14:paraId="16BC962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E702" w14:textId="04B60D59" w:rsidR="005A6322" w:rsidRPr="00A52027" w:rsidRDefault="005A6322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Wanted to wait hoping that the problem would go away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1A55" w14:textId="77777777" w:rsidR="005A6322" w:rsidRPr="00A52027" w:rsidRDefault="005A6322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10.0%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15AD" w14:textId="3AB020B0" w:rsidR="005A6322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5A6322" w:rsidRPr="00A52027" w14:paraId="5CB2AE5D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CC80" w14:textId="20F2F4AE" w:rsidR="005A6322" w:rsidRPr="00A52027" w:rsidRDefault="005A6322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reasons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3A25" w14:textId="77777777" w:rsidR="005A6322" w:rsidRPr="00A52027" w:rsidRDefault="005A6322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25.0%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69A5" w14:textId="43E6BA34" w:rsidR="005A6322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5A40B1C3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144E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CB1A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8B53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4814AB8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7208" w14:textId="4CF60922" w:rsidR="00DB63C4" w:rsidRPr="00A52027" w:rsidRDefault="005A6322" w:rsidP="00A52027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 w:rsidRPr="00A52027">
              <w:rPr>
                <w:rFonts w:ascii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hAnsi="Times New Roman" w:cs="Times New Roman"/>
                <w:b/>
                <w:bCs/>
              </w:rPr>
              <w:t>e you covered by the compulsory health insurance?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A832" w14:textId="042440C9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79C7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322" w:rsidRPr="00A52027" w14:paraId="449579D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F50C" w14:textId="47FB4590" w:rsidR="005A6322" w:rsidRPr="00A52027" w:rsidRDefault="005A6322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Yes, I am insured by the state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A95E" w14:textId="77777777" w:rsidR="005A6322" w:rsidRPr="00A52027" w:rsidRDefault="005A6322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98.2%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7D74" w14:textId="6D277060" w:rsidR="005A6322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5A6322" w:rsidRPr="00A52027" w14:paraId="0EDC6814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4D59" w14:textId="16C36E95" w:rsidR="005A6322" w:rsidRPr="00A52027" w:rsidRDefault="005A6322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Pr="00A5202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I am insured by the employer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723EE" w14:textId="77777777" w:rsidR="005A6322" w:rsidRPr="00A52027" w:rsidRDefault="005A6322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52027">
              <w:rPr>
                <w:rFonts w:ascii="Times New Roman" w:hAnsi="Times New Roman" w:cs="Times New Roman"/>
              </w:rPr>
              <w:t>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17B5" w14:textId="61E68B6E" w:rsidR="005A6322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5A6322" w:rsidRPr="00A52027" w14:paraId="429942B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7B44" w14:textId="62B47ECF" w:rsidR="005A6322" w:rsidRPr="00A52027" w:rsidRDefault="005A6322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No, I am not covered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BBCA" w14:textId="77777777" w:rsidR="005A6322" w:rsidRPr="00A52027" w:rsidRDefault="005A6322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1749" w14:textId="1710AE47" w:rsidR="005A6322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4079EBA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D97A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D31F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0FC5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141AEDB0" w14:textId="77777777" w:rsidTr="008453DF">
        <w:trPr>
          <w:trHeight w:val="257"/>
        </w:trPr>
        <w:tc>
          <w:tcPr>
            <w:tcW w:w="9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65DF" w14:textId="0CD1C733" w:rsidR="00DB63C4" w:rsidRPr="00A52027" w:rsidRDefault="005A6322" w:rsidP="005A63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Child Care</w:t>
            </w:r>
            <w:r w:rsidR="00DB63C4" w:rsidRPr="00A52027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2"/>
            </w:r>
          </w:p>
        </w:tc>
      </w:tr>
      <w:tr w:rsidR="00DB63C4" w:rsidRPr="00A52027" w14:paraId="2906087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2BF6" w14:textId="228027A5" w:rsidR="00DB63C4" w:rsidRPr="00A52027" w:rsidRDefault="005A6322" w:rsidP="005A6322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1-6 year olds in kindergarten or nursery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70F5" w14:textId="18AA42A6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32C2" w14:textId="3EA83A1D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B63C4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DB63C4" w:rsidRPr="00A52027" w14:paraId="51AB7A90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2B05" w14:textId="5DFA7514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59B4" w14:textId="1F5A9CE8" w:rsidR="00DB63C4" w:rsidRPr="00A52027" w:rsidRDefault="00D25DB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DB63C4" w:rsidRPr="00A52027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FDAC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74.4%</w:t>
            </w:r>
          </w:p>
        </w:tc>
      </w:tr>
      <w:tr w:rsidR="00DB63C4" w:rsidRPr="00A52027" w14:paraId="53BA14C4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C04D" w14:textId="5A176EA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2995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74.7%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0A46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25.6%</w:t>
            </w:r>
          </w:p>
        </w:tc>
      </w:tr>
      <w:tr w:rsidR="00DB63C4" w:rsidRPr="00A52027" w14:paraId="18C0F3D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8E6D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C2AA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D026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308</w:t>
            </w:r>
          </w:p>
        </w:tc>
      </w:tr>
      <w:tr w:rsidR="00DB63C4" w:rsidRPr="00A52027" w14:paraId="079C8A8C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FF49" w14:textId="524D128B" w:rsidR="00DB63C4" w:rsidRPr="00A52027" w:rsidRDefault="005A6322" w:rsidP="005A6322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 year olds and above in general education schools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6E7B" w14:textId="5A2D81C6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5227" w14:textId="28660BC8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B63C4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DB63C4" w:rsidRPr="00A52027" w14:paraId="041D901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D150" w14:textId="49B3111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A33B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90.3%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FEFB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98.8%</w:t>
            </w:r>
          </w:p>
        </w:tc>
      </w:tr>
      <w:tr w:rsidR="00DB63C4" w:rsidRPr="00A52027" w14:paraId="1E73251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AE72" w14:textId="35F11A88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3630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A321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1.2%</w:t>
            </w:r>
          </w:p>
        </w:tc>
      </w:tr>
      <w:tr w:rsidR="00DB63C4" w:rsidRPr="00A52027" w14:paraId="3BFD616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F596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515C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1667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427</w:t>
            </w:r>
          </w:p>
        </w:tc>
      </w:tr>
      <w:tr w:rsidR="00DB63C4" w:rsidRPr="00A52027" w14:paraId="444CBC5D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B385" w14:textId="5995D82F" w:rsidR="00DB63C4" w:rsidRPr="00A52027" w:rsidRDefault="005A6322" w:rsidP="005A6322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 what grade?</w:t>
            </w:r>
            <w:r w:rsidR="00DB63C4" w:rsidRPr="00A52027">
              <w:rPr>
                <w:rFonts w:ascii="Times New Roman" w:hAnsi="Times New Roman" w:cs="Times New Roman"/>
                <w:b/>
                <w:bCs/>
              </w:rPr>
              <w:t xml:space="preserve"> (7 </w:t>
            </w:r>
            <w:r>
              <w:rPr>
                <w:rFonts w:ascii="Times New Roman" w:hAnsi="Times New Roman" w:cs="Times New Roman"/>
                <w:b/>
                <w:bCs/>
              </w:rPr>
              <w:t>and more years of age</w:t>
            </w:r>
            <w:r w:rsidR="00DB63C4" w:rsidRPr="00A5202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9589" w14:textId="725702F0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86A8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49EDD2A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13C0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9007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14.1%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503B" w14:textId="28973B67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01B5707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74E19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F177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16.4%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6103" w14:textId="2FED1FC1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4A9D1AD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ED1B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EBEB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14.1%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6F50" w14:textId="7ED48880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6A965C1E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B8E97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DA39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17.2%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8C5B" w14:textId="2EFC6B48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5F9B9956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DBAB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FF0C2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20CF" w14:textId="0675817B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31C9B687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6670F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9D16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14.1%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51E6" w14:textId="253881B7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30CB0C6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27F2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2CA8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F648" w14:textId="215182A1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6493792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F354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DFE4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09C4" w14:textId="4541D2DB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347DF3C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6614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BF9D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2.3%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ECA3" w14:textId="696B349D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1F03CFD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9C24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E72C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5182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1BB8415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C00D" w14:textId="34B1C5DB" w:rsidR="00DB63C4" w:rsidRPr="00A52027" w:rsidRDefault="005A6322" w:rsidP="005A6322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Can read and write </w:t>
            </w:r>
            <w:r w:rsidR="00DB63C4" w:rsidRPr="00A52027">
              <w:rPr>
                <w:rFonts w:ascii="Times New Roman" w:hAnsi="Times New Roman" w:cs="Times New Roman"/>
                <w:b/>
                <w:bCs/>
              </w:rPr>
              <w:t xml:space="preserve">(7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and more years of age)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951A" w14:textId="1637BC69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F350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6D3A96D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9B6C" w14:textId="19F795A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3888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85.4%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7905" w14:textId="14AAF1BF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064D5AE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E69A" w14:textId="245627FA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ACEF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14.6%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4AEE" w14:textId="5BDC6C4A" w:rsidR="00DB63C4" w:rsidRPr="00A52027" w:rsidRDefault="007236DC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</w:t>
            </w:r>
          </w:p>
        </w:tc>
      </w:tr>
      <w:tr w:rsidR="00DB63C4" w:rsidRPr="00A52027" w14:paraId="224DEE7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7D4D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D8F3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C448" w14:textId="77777777" w:rsidR="00DB63C4" w:rsidRPr="00A52027" w:rsidRDefault="00DB63C4" w:rsidP="00A5202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3C4" w:rsidRPr="00A52027" w14:paraId="1FA5A19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7C83" w14:textId="55C3B140" w:rsidR="00DB63C4" w:rsidRPr="00A52027" w:rsidRDefault="00F83F53" w:rsidP="004C5E8E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Attends after-cla</w:t>
            </w:r>
            <w:r w:rsidR="004C5E8E">
              <w:rPr>
                <w:rFonts w:ascii="Times New Roman" w:hAnsi="Times New Roman" w:cs="Times New Roman"/>
                <w:b/>
                <w:bCs/>
              </w:rPr>
              <w:t>sses activity group at school,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5E8E">
              <w:rPr>
                <w:rFonts w:ascii="Times New Roman" w:hAnsi="Times New Roman" w:cs="Times New Roman"/>
                <w:b/>
                <w:bCs/>
              </w:rPr>
              <w:t>a weekly kindergarten, etc.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7E4A" w14:textId="081A1918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A86A" w14:textId="226B9626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B63C4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DB63C4" w:rsidRPr="00A52027" w14:paraId="34C30F2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9803" w14:textId="6882EF3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7E7C" w14:textId="73678156" w:rsidR="00DB63C4" w:rsidRPr="00A52027" w:rsidRDefault="00D25DB9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B63C4" w:rsidRPr="00A52027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3B40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3.6%</w:t>
            </w:r>
          </w:p>
        </w:tc>
      </w:tr>
      <w:tr w:rsidR="00DB63C4" w:rsidRPr="00A52027" w14:paraId="17D3266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8D2E3" w14:textId="2BBD821C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1D24" w14:textId="109068FA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89</w:t>
            </w:r>
            <w:r w:rsidR="00D25DB9">
              <w:rPr>
                <w:rFonts w:ascii="Times New Roman" w:hAnsi="Times New Roman" w:cs="Times New Roman"/>
              </w:rPr>
              <w:t>.</w:t>
            </w:r>
            <w:r w:rsidRPr="00A52027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BD46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96.4%</w:t>
            </w:r>
          </w:p>
        </w:tc>
      </w:tr>
      <w:tr w:rsidR="00DB63C4" w:rsidRPr="00A52027" w14:paraId="499F80D9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46EA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3E66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9C28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665</w:t>
            </w:r>
          </w:p>
        </w:tc>
      </w:tr>
      <w:tr w:rsidR="00DB63C4" w:rsidRPr="00A52027" w14:paraId="55AA0EE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E844" w14:textId="0D65D9C4" w:rsidR="00DB63C4" w:rsidRPr="00A52027" w:rsidRDefault="004C5E8E" w:rsidP="004C5E8E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Attends children’s day or occupation centres, etc.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2D9A" w14:textId="0E2862B9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4FED" w14:textId="77AF77DB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B63C4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DB63C4" w:rsidRPr="00A52027" w14:paraId="600BBB6A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FC59" w14:textId="20C1E675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DE43" w14:textId="03577EB5" w:rsidR="00DB63C4" w:rsidRPr="00A52027" w:rsidRDefault="004C5E8E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DB63C4" w:rsidRPr="00A52027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9AF7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3.5%</w:t>
            </w:r>
          </w:p>
        </w:tc>
      </w:tr>
      <w:tr w:rsidR="00DB63C4" w:rsidRPr="00A52027" w14:paraId="3EBA34A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A880" w14:textId="325F25B8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0BEB" w14:textId="6EF7D576" w:rsidR="00DB63C4" w:rsidRPr="00A52027" w:rsidRDefault="004C5E8E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  <w:r w:rsidR="00DB63C4" w:rsidRPr="00A52027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12E8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96.5%</w:t>
            </w:r>
          </w:p>
        </w:tc>
      </w:tr>
      <w:tr w:rsidR="00DB63C4" w:rsidRPr="00A52027" w14:paraId="0AC007B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0957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03F3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8E12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877</w:t>
            </w:r>
          </w:p>
        </w:tc>
      </w:tr>
      <w:tr w:rsidR="00DB63C4" w:rsidRPr="00A52027" w14:paraId="11F9E78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62F4" w14:textId="1DEA4356" w:rsidR="00DB63C4" w:rsidRPr="00A52027" w:rsidRDefault="004C5E8E" w:rsidP="004C5E8E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Child is taken care of by a paid child minder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E6F5" w14:textId="05157770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274F" w14:textId="10B451C9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B63C4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DB63C4" w:rsidRPr="00A52027" w14:paraId="22B7FB9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3FA30" w14:textId="6FC9D381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DC9A" w14:textId="07746258" w:rsidR="00DB63C4" w:rsidRPr="00A52027" w:rsidRDefault="004C5E8E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63C4" w:rsidRPr="00A52027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DFA1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1.6%</w:t>
            </w:r>
          </w:p>
        </w:tc>
      </w:tr>
      <w:tr w:rsidR="00DB63C4" w:rsidRPr="00A52027" w14:paraId="1B8392C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342A" w14:textId="5AEF81C4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F458" w14:textId="2DA7EA78" w:rsidR="00DB63C4" w:rsidRPr="00A52027" w:rsidRDefault="004C5E8E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  <w:r w:rsidR="00DB63C4" w:rsidRPr="00A52027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9994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98.4%</w:t>
            </w:r>
          </w:p>
        </w:tc>
      </w:tr>
      <w:tr w:rsidR="00DB63C4" w:rsidRPr="00A52027" w14:paraId="0F5B50E8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28ED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C1E6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5810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027">
              <w:rPr>
                <w:rFonts w:ascii="Times New Roman" w:hAnsi="Times New Roman" w:cs="Times New Roman"/>
              </w:rPr>
              <w:t>877</w:t>
            </w:r>
          </w:p>
        </w:tc>
      </w:tr>
      <w:tr w:rsidR="00DB63C4" w:rsidRPr="00A52027" w14:paraId="074C7265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87C2" w14:textId="65504EAB" w:rsidR="00DB63C4" w:rsidRPr="00A52027" w:rsidRDefault="004C5E8E" w:rsidP="004C5E8E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Child is taken care of by grandparents and other family members (other than parents), extended family members, friends or neighbours free of charge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EF26" w14:textId="67676605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</w:t>
            </w:r>
            <w:r w:rsidR="00DB63C4" w:rsidRPr="00A52027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5E31" w14:textId="01829994" w:rsidR="00DB63C4" w:rsidRPr="00A52027" w:rsidRDefault="00D1029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ILCS</w:t>
            </w:r>
            <w:r w:rsidRPr="001543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B63C4" w:rsidRPr="00A52027">
              <w:rPr>
                <w:rFonts w:ascii="Times New Roman" w:hAnsi="Times New Roman" w:cs="Times New Roman"/>
                <w:b/>
                <w:lang w:val="en-US"/>
              </w:rPr>
              <w:t>2013</w:t>
            </w:r>
          </w:p>
        </w:tc>
      </w:tr>
      <w:tr w:rsidR="00DB63C4" w:rsidRPr="00A52027" w14:paraId="31B72E52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3215" w14:textId="745F58B8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1B9B" w14:textId="34BD06E1" w:rsidR="00DB63C4" w:rsidRPr="00A52027" w:rsidRDefault="004C5E8E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  <w:r w:rsidR="00DB63C4" w:rsidRPr="00A5202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EA31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25.0%</w:t>
            </w:r>
          </w:p>
        </w:tc>
      </w:tr>
      <w:tr w:rsidR="00DB63C4" w:rsidRPr="00A52027" w14:paraId="3C90B864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D56E" w14:textId="40ACF430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CE67" w14:textId="515D859D" w:rsidR="00DB63C4" w:rsidRPr="00A52027" w:rsidRDefault="004C5E8E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DB63C4" w:rsidRPr="00A5202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1F68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75.0%</w:t>
            </w:r>
          </w:p>
        </w:tc>
      </w:tr>
      <w:tr w:rsidR="00DB63C4" w:rsidRPr="00A52027" w14:paraId="5414E2EB" w14:textId="77777777" w:rsidTr="008453DF">
        <w:trPr>
          <w:trHeight w:val="257"/>
        </w:trPr>
        <w:tc>
          <w:tcPr>
            <w:tcW w:w="6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A57A" w14:textId="77777777" w:rsidR="00DB63C4" w:rsidRPr="00A52027" w:rsidRDefault="00DB63C4" w:rsidP="00A5202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F084C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1052" w14:textId="77777777" w:rsidR="00DB63C4" w:rsidRPr="00A52027" w:rsidRDefault="00DB63C4" w:rsidP="00A5202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027">
              <w:rPr>
                <w:rFonts w:ascii="Times New Roman" w:hAnsi="Times New Roman" w:cs="Times New Roman"/>
              </w:rPr>
              <w:t>877</w:t>
            </w:r>
          </w:p>
        </w:tc>
      </w:tr>
    </w:tbl>
    <w:p w14:paraId="40523600" w14:textId="77777777" w:rsidR="00A52027" w:rsidRPr="00A52027" w:rsidRDefault="00A52027" w:rsidP="00A52027">
      <w:pPr>
        <w:spacing w:after="0"/>
        <w:rPr>
          <w:rFonts w:ascii="Times New Roman" w:hAnsi="Times New Roman" w:cs="Times New Roman"/>
        </w:rPr>
      </w:pPr>
    </w:p>
    <w:p w14:paraId="2CEE75AB" w14:textId="77777777" w:rsidR="00154398" w:rsidRPr="00A52027" w:rsidRDefault="00154398" w:rsidP="00A52027">
      <w:pPr>
        <w:spacing w:after="0"/>
        <w:rPr>
          <w:rFonts w:ascii="Times New Roman" w:eastAsia="Times New Roman" w:hAnsi="Times New Roman" w:cs="Times New Roman"/>
          <w:noProof/>
        </w:rPr>
      </w:pPr>
    </w:p>
    <w:p w14:paraId="5324E887" w14:textId="77777777" w:rsidR="00154398" w:rsidRPr="00A52027" w:rsidRDefault="00154398" w:rsidP="00A52027">
      <w:pPr>
        <w:spacing w:after="0"/>
        <w:rPr>
          <w:rFonts w:ascii="Times New Roman" w:eastAsia="Times New Roman" w:hAnsi="Times New Roman" w:cs="Times New Roman"/>
          <w:noProof/>
        </w:rPr>
      </w:pPr>
    </w:p>
    <w:p w14:paraId="49F960DA" w14:textId="77777777" w:rsidR="00154398" w:rsidRPr="00FE710D" w:rsidRDefault="00154398" w:rsidP="00154398">
      <w:pPr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0574EA" w14:textId="77777777" w:rsidR="00154398" w:rsidRPr="00EE03FA" w:rsidRDefault="00154398" w:rsidP="00154398">
      <w:pPr>
        <w:rPr>
          <w:rFonts w:ascii="Calibri" w:eastAsia="Times New Roman" w:hAnsi="Calibri" w:cs="Times New Roman"/>
        </w:rPr>
      </w:pPr>
    </w:p>
    <w:p w14:paraId="0F634087" w14:textId="77777777" w:rsidR="00154398" w:rsidRPr="00154398" w:rsidRDefault="00154398" w:rsidP="00154398">
      <w:pPr>
        <w:jc w:val="center"/>
        <w:rPr>
          <w:b/>
        </w:rPr>
      </w:pPr>
    </w:p>
    <w:sectPr w:rsidR="00154398" w:rsidRPr="00154398" w:rsidSect="00FE2B6C">
      <w:footerReference w:type="defaul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ECA2C" w14:textId="77777777" w:rsidR="002D74D5" w:rsidRDefault="002D74D5" w:rsidP="00BB5F82">
      <w:pPr>
        <w:spacing w:after="0" w:line="240" w:lineRule="auto"/>
      </w:pPr>
      <w:r>
        <w:separator/>
      </w:r>
    </w:p>
  </w:endnote>
  <w:endnote w:type="continuationSeparator" w:id="0">
    <w:p w14:paraId="4EA93A8F" w14:textId="77777777" w:rsidR="002D74D5" w:rsidRDefault="002D74D5" w:rsidP="00BB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203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961A8" w14:textId="77777777" w:rsidR="002D74D5" w:rsidRDefault="002D7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9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1241ABD" w14:textId="77777777" w:rsidR="002D74D5" w:rsidRDefault="002D74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EF488" w14:textId="77777777" w:rsidR="002D74D5" w:rsidRDefault="002D74D5" w:rsidP="00BB5F82">
      <w:pPr>
        <w:spacing w:after="0" w:line="240" w:lineRule="auto"/>
      </w:pPr>
      <w:r>
        <w:separator/>
      </w:r>
    </w:p>
  </w:footnote>
  <w:footnote w:type="continuationSeparator" w:id="0">
    <w:p w14:paraId="7D7EDEF6" w14:textId="77777777" w:rsidR="002D74D5" w:rsidRDefault="002D74D5" w:rsidP="00BB5F82">
      <w:pPr>
        <w:spacing w:after="0" w:line="240" w:lineRule="auto"/>
      </w:pPr>
      <w:r>
        <w:continuationSeparator/>
      </w:r>
    </w:p>
  </w:footnote>
  <w:footnote w:id="1">
    <w:p w14:paraId="530DC7A3" w14:textId="6CE11917" w:rsidR="002D74D5" w:rsidRPr="006610F5" w:rsidRDefault="002D74D5">
      <w:pPr>
        <w:pStyle w:val="FootnoteText"/>
        <w:rPr>
          <w:rFonts w:ascii="Times New Roman" w:hAnsi="Times New Roman" w:cs="Times New Roman"/>
        </w:rPr>
      </w:pPr>
      <w:r w:rsidRPr="006610F5">
        <w:rPr>
          <w:rStyle w:val="FootnoteReference"/>
          <w:rFonts w:ascii="Times New Roman" w:hAnsi="Times New Roman" w:cs="Times New Roman"/>
        </w:rPr>
        <w:footnoteRef/>
      </w:r>
      <w:r w:rsidRPr="00661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 of</w:t>
      </w:r>
      <w:r w:rsidRPr="006610F5">
        <w:rPr>
          <w:rFonts w:ascii="Times New Roman" w:hAnsi="Times New Roman" w:cs="Times New Roman"/>
        </w:rPr>
        <w:t xml:space="preserve"> 523 </w:t>
      </w:r>
      <w:r>
        <w:rPr>
          <w:rFonts w:ascii="Times New Roman" w:hAnsi="Times New Roman" w:cs="Times New Roman"/>
        </w:rPr>
        <w:t>respondents</w:t>
      </w:r>
      <w:r w:rsidRPr="006610F5">
        <w:rPr>
          <w:rFonts w:ascii="Times New Roman" w:hAnsi="Times New Roman" w:cs="Times New Roman"/>
          <w:color w:val="000000"/>
        </w:rPr>
        <w:t xml:space="preserve"> 2</w:t>
      </w:r>
      <w:r>
        <w:rPr>
          <w:rFonts w:ascii="Times New Roman" w:hAnsi="Times New Roman" w:cs="Times New Roman"/>
          <w:color w:val="000000"/>
        </w:rPr>
        <w:t xml:space="preserve"> were of other nationality than Roma, thus their personal data was not included into the analysis. The survey collected personal data on 521 Roma people. </w:t>
      </w:r>
    </w:p>
  </w:footnote>
  <w:footnote w:id="2">
    <w:p w14:paraId="52B0932D" w14:textId="4AF3936D" w:rsidR="002D74D5" w:rsidRPr="006610F5" w:rsidRDefault="002D74D5" w:rsidP="002E76FA">
      <w:pPr>
        <w:pStyle w:val="FootnoteText"/>
        <w:rPr>
          <w:rFonts w:ascii="Times New Roman" w:hAnsi="Times New Roman" w:cs="Times New Roman"/>
          <w:shd w:val="clear" w:color="auto" w:fill="FFFFFF"/>
        </w:rPr>
      </w:pPr>
      <w:r w:rsidRPr="006610F5">
        <w:rPr>
          <w:rStyle w:val="FootnoteReference"/>
          <w:rFonts w:ascii="Times New Roman" w:hAnsi="Times New Roman" w:cs="Times New Roman"/>
        </w:rPr>
        <w:footnoteRef/>
      </w:r>
      <w:r w:rsidRPr="006610F5">
        <w:rPr>
          <w:rFonts w:ascii="Times New Roman" w:hAnsi="Times New Roman" w:cs="Times New Roman"/>
        </w:rPr>
        <w:t xml:space="preserve"> </w:t>
      </w:r>
      <w:r w:rsidRPr="005E740D">
        <w:rPr>
          <w:rFonts w:ascii="Times New Roman" w:hAnsi="Times New Roman" w:cs="Times New Roman"/>
          <w:shd w:val="clear" w:color="auto" w:fill="FFFFFF"/>
        </w:rPr>
        <w:t>An</w:t>
      </w:r>
      <w:r>
        <w:rPr>
          <w:rFonts w:ascii="Times New Roman" w:hAnsi="Times New Roman" w:cs="Times New Roman"/>
          <w:shd w:val="clear" w:color="auto" w:fill="FFFFFF"/>
        </w:rPr>
        <w:t>ne</w:t>
      </w:r>
      <w:r w:rsidRPr="005E740D">
        <w:rPr>
          <w:rFonts w:ascii="Times New Roman" w:hAnsi="Times New Roman" w:cs="Times New Roman"/>
          <w:shd w:val="clear" w:color="auto" w:fill="FFFFFF"/>
        </w:rPr>
        <w:t>x 3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5E740D">
        <w:rPr>
          <w:rFonts w:ascii="Times New Roman" w:hAnsi="Times New Roman" w:cs="Times New Roman"/>
          <w:shd w:val="clear" w:color="auto" w:fill="FFFFFF"/>
        </w:rPr>
        <w:t>to</w:t>
      </w:r>
      <w:r>
        <w:rPr>
          <w:rFonts w:ascii="Times New Roman" w:hAnsi="Times New Roman" w:cs="Times New Roman"/>
          <w:i/>
          <w:shd w:val="clear" w:color="auto" w:fill="FFFFFF"/>
        </w:rPr>
        <w:t xml:space="preserve"> The Action Plan for Integration of Roma into Lithuanian Society </w:t>
      </w:r>
      <w:r w:rsidRPr="006610F5">
        <w:rPr>
          <w:rFonts w:ascii="Times New Roman" w:hAnsi="Times New Roman" w:cs="Times New Roman"/>
          <w:i/>
          <w:shd w:val="clear" w:color="auto" w:fill="FFFFFF"/>
        </w:rPr>
        <w:t xml:space="preserve">2015-2020 </w:t>
      </w:r>
    </w:p>
    <w:p w14:paraId="5B0B12D1" w14:textId="77777777" w:rsidR="002D74D5" w:rsidRPr="006610F5" w:rsidRDefault="002D74D5" w:rsidP="002E76FA">
      <w:pPr>
        <w:pStyle w:val="FootnoteText"/>
        <w:rPr>
          <w:rFonts w:ascii="Times New Roman" w:hAnsi="Times New Roman" w:cs="Times New Roman"/>
        </w:rPr>
      </w:pPr>
      <w:hyperlink r:id="rId1" w:history="1">
        <w:r w:rsidRPr="006610F5">
          <w:rPr>
            <w:rStyle w:val="Hyperlink"/>
            <w:rFonts w:ascii="Times New Roman" w:hAnsi="Times New Roman"/>
            <w:shd w:val="clear" w:color="auto" w:fill="FFFFFF"/>
          </w:rPr>
          <w:t>https://www.e-tar.lt/portal/lt/legalAct/4a774b20a7c711e4a82d9548fb36f682</w:t>
        </w:r>
      </w:hyperlink>
    </w:p>
  </w:footnote>
  <w:footnote w:id="3">
    <w:p w14:paraId="52DDC43A" w14:textId="6C7BD0EB" w:rsidR="002D74D5" w:rsidRPr="006610F5" w:rsidRDefault="002D74D5">
      <w:pPr>
        <w:pStyle w:val="FootnoteText"/>
        <w:rPr>
          <w:rFonts w:ascii="Times New Roman" w:hAnsi="Times New Roman" w:cs="Times New Roman"/>
        </w:rPr>
      </w:pPr>
      <w:r w:rsidRPr="006610F5">
        <w:rPr>
          <w:rStyle w:val="FootnoteReference"/>
          <w:rFonts w:ascii="Times New Roman" w:hAnsi="Times New Roman" w:cs="Times New Roman"/>
        </w:rPr>
        <w:footnoteRef/>
      </w:r>
      <w:r w:rsidRPr="00661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Unless indicated otherwise, here and hereinafter</w:t>
      </w:r>
      <w:r w:rsidRPr="00661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comparisons against the overall Lithuanian average are made by referring to the resuls of Income and Living Conditions Survey 2013 (Statistics Lithuania, 2014). </w:t>
      </w:r>
    </w:p>
  </w:footnote>
  <w:footnote w:id="4">
    <w:p w14:paraId="20BDB8EB" w14:textId="18EDEF94" w:rsidR="002D74D5" w:rsidRPr="006610F5" w:rsidRDefault="002D74D5" w:rsidP="000E4EE5">
      <w:pPr>
        <w:pStyle w:val="FootnoteText"/>
        <w:jc w:val="both"/>
        <w:rPr>
          <w:rFonts w:ascii="Times New Roman" w:hAnsi="Times New Roman" w:cs="Times New Roman"/>
        </w:rPr>
      </w:pPr>
      <w:r w:rsidRPr="006610F5">
        <w:rPr>
          <w:rStyle w:val="FootnoteReference"/>
          <w:rFonts w:ascii="Times New Roman" w:hAnsi="Times New Roman" w:cs="Times New Roman"/>
        </w:rPr>
        <w:footnoteRef/>
      </w:r>
      <w:r w:rsidRPr="00661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general population of Lithuania inadicates other reasons for not seeing a physician: 46% did not get medical attention because of the waiting time (difficult to get an appointment or a referral); 29% chose to wait hoping to get better on their own. Only 1% of Lithunian population reported a fear of doctors, 5% did not have time to see a doctor, and 12% could not afford the service. </w:t>
      </w:r>
    </w:p>
  </w:footnote>
  <w:footnote w:id="5">
    <w:p w14:paraId="296BCCAA" w14:textId="3509168E" w:rsidR="002D74D5" w:rsidRPr="006610F5" w:rsidRDefault="002D74D5" w:rsidP="000E4EE5">
      <w:pPr>
        <w:pStyle w:val="FootnoteText"/>
        <w:jc w:val="both"/>
        <w:rPr>
          <w:rFonts w:ascii="Times New Roman" w:hAnsi="Times New Roman" w:cs="Times New Roman"/>
        </w:rPr>
      </w:pPr>
      <w:r w:rsidRPr="006610F5">
        <w:rPr>
          <w:rStyle w:val="FootnoteReference"/>
          <w:rFonts w:ascii="Times New Roman" w:hAnsi="Times New Roman" w:cs="Times New Roman"/>
        </w:rPr>
        <w:footnoteRef/>
      </w:r>
      <w:r w:rsidRPr="00661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Only 1% of the general population chose not to see a dentist. Inability to afford the service was indicated as the main reason by 71% of them, long waiting lists by 19%</w:t>
      </w:r>
      <w:r w:rsidRPr="006610F5">
        <w:rPr>
          <w:rFonts w:ascii="Times New Roman" w:hAnsi="Times New Roman" w:cs="Times New Roman"/>
        </w:rPr>
        <w:t xml:space="preserve">.  </w:t>
      </w:r>
    </w:p>
  </w:footnote>
  <w:footnote w:id="6">
    <w:p w14:paraId="6A588EA8" w14:textId="739F5C34" w:rsidR="002D74D5" w:rsidRPr="006610F5" w:rsidRDefault="002D74D5" w:rsidP="00FD2E08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610F5">
        <w:rPr>
          <w:rStyle w:val="FootnoteReference"/>
          <w:sz w:val="20"/>
          <w:szCs w:val="20"/>
        </w:rPr>
        <w:footnoteRef/>
      </w:r>
      <w:r w:rsidRPr="006610F5">
        <w:rPr>
          <w:sz w:val="20"/>
          <w:szCs w:val="20"/>
        </w:rPr>
        <w:t xml:space="preserve"> </w:t>
      </w:r>
      <w:r>
        <w:rPr>
          <w:sz w:val="20"/>
          <w:szCs w:val="20"/>
        </w:rPr>
        <w:t>At-risk-of-poverty rate is the share of people having an equivalised disposbale income that is below the at-risk-of-poverty threshold (Methodology for Calculation of Poverty Indicators, approved by Statistics Lithuania Director GeNoral’s Order No. DĮ-</w:t>
      </w:r>
      <w:r>
        <w:rPr>
          <w:sz w:val="20"/>
          <w:szCs w:val="20"/>
          <w:lang w:val="en-US"/>
        </w:rPr>
        <w:t>163 of 5 September 2011</w:t>
      </w:r>
      <w:r>
        <w:rPr>
          <w:sz w:val="20"/>
          <w:szCs w:val="20"/>
        </w:rPr>
        <w:t xml:space="preserve">). </w:t>
      </w:r>
    </w:p>
  </w:footnote>
  <w:footnote w:id="7">
    <w:p w14:paraId="406AE28E" w14:textId="475C28A2" w:rsidR="002D74D5" w:rsidRPr="006610F5" w:rsidRDefault="002D74D5" w:rsidP="00FD2E08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610F5">
        <w:rPr>
          <w:rStyle w:val="FootnoteReference"/>
          <w:sz w:val="20"/>
          <w:szCs w:val="20"/>
        </w:rPr>
        <w:footnoteRef/>
      </w:r>
      <w:r w:rsidRPr="006610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Material deprivation rate is the share of population that is confronted with a fixed number or more of material deprivation elements from a pre-defiNod list of material deprivation items. Accroding to the Eurostat methodology, a person is deemed to be materially deprived if he or she can not afford at least three of niNo items from the list. The list consists of 5 economic strains and 4 durable goods which a household can not afford due to the lack of financial resources. Economic strains: </w:t>
      </w:r>
      <w:r w:rsidRPr="000A069C">
        <w:rPr>
          <w:sz w:val="20"/>
          <w:szCs w:val="20"/>
        </w:rPr>
        <w:t>1) a household can not afford to pay on time rent payments, utility bills, hire purchase installments or other loan payments; 2) a household can not afford o</w:t>
      </w:r>
      <w:r>
        <w:rPr>
          <w:sz w:val="20"/>
          <w:szCs w:val="20"/>
        </w:rPr>
        <w:t>No</w:t>
      </w:r>
      <w:r w:rsidRPr="000A069C">
        <w:rPr>
          <w:sz w:val="20"/>
          <w:szCs w:val="20"/>
        </w:rPr>
        <w:t xml:space="preserve"> week’s annual holiday away from home; 3) a household can not afford adequate heating of their home; 4) a household can not afford to have a meal with meat, fish or vegetarian equivalent at least every second day; 5) a household can not </w:t>
      </w:r>
      <w:r>
        <w:rPr>
          <w:sz w:val="20"/>
          <w:szCs w:val="20"/>
        </w:rPr>
        <w:t>afford</w:t>
      </w:r>
      <w:r w:rsidRPr="000A069C">
        <w:rPr>
          <w:sz w:val="20"/>
          <w:szCs w:val="20"/>
        </w:rPr>
        <w:t xml:space="preserve"> u</w:t>
      </w:r>
      <w:r>
        <w:rPr>
          <w:sz w:val="20"/>
          <w:szCs w:val="20"/>
        </w:rPr>
        <w:t>No</w:t>
      </w:r>
      <w:r w:rsidRPr="000A069C">
        <w:rPr>
          <w:sz w:val="20"/>
          <w:szCs w:val="20"/>
        </w:rPr>
        <w:t>xpected expenses (amount of expenses equals the monthly poverty threshold of the previous year). Durable goods: 1) a telepho</w:t>
      </w:r>
      <w:r>
        <w:rPr>
          <w:sz w:val="20"/>
          <w:szCs w:val="20"/>
        </w:rPr>
        <w:t>No</w:t>
      </w:r>
      <w:r w:rsidRPr="000A069C">
        <w:rPr>
          <w:sz w:val="20"/>
          <w:szCs w:val="20"/>
        </w:rPr>
        <w:t xml:space="preserve"> (including mobile pho</w:t>
      </w:r>
      <w:r>
        <w:rPr>
          <w:sz w:val="20"/>
          <w:szCs w:val="20"/>
        </w:rPr>
        <w:t>No</w:t>
      </w:r>
      <w:r w:rsidRPr="000A069C">
        <w:rPr>
          <w:sz w:val="20"/>
          <w:szCs w:val="20"/>
        </w:rPr>
        <w:t>); 2) a colour TV; 3) a  washing machi</w:t>
      </w:r>
      <w:r>
        <w:rPr>
          <w:sz w:val="20"/>
          <w:szCs w:val="20"/>
        </w:rPr>
        <w:t>No</w:t>
      </w:r>
      <w:r w:rsidRPr="000A069C">
        <w:rPr>
          <w:sz w:val="20"/>
          <w:szCs w:val="20"/>
        </w:rPr>
        <w:t>; 4) a car.</w:t>
      </w:r>
      <w:r>
        <w:t xml:space="preserve"> </w:t>
      </w:r>
      <w:r>
        <w:rPr>
          <w:sz w:val="20"/>
          <w:szCs w:val="20"/>
        </w:rPr>
        <w:t>(Methodology for Calculation of Poverty Indicators, approved by Statistics Lithuania Director GeNoral’s Order No. DĮ-</w:t>
      </w:r>
      <w:r>
        <w:rPr>
          <w:sz w:val="20"/>
          <w:szCs w:val="20"/>
          <w:lang w:val="en-US"/>
        </w:rPr>
        <w:t>163 of 5 September 2011</w:t>
      </w:r>
      <w:r>
        <w:rPr>
          <w:sz w:val="20"/>
          <w:szCs w:val="20"/>
        </w:rPr>
        <w:t>).</w:t>
      </w:r>
    </w:p>
    <w:p w14:paraId="5F8229F7" w14:textId="77777777" w:rsidR="002D74D5" w:rsidRPr="006610F5" w:rsidRDefault="002D74D5" w:rsidP="00FD2E08">
      <w:pPr>
        <w:pStyle w:val="FootnoteText"/>
        <w:rPr>
          <w:rFonts w:ascii="Times New Roman" w:hAnsi="Times New Roman" w:cs="Times New Roman"/>
        </w:rPr>
      </w:pPr>
    </w:p>
  </w:footnote>
  <w:footnote w:id="8">
    <w:p w14:paraId="50A1E645" w14:textId="6B0F5E08" w:rsidR="002D74D5" w:rsidRPr="006610F5" w:rsidRDefault="002D74D5" w:rsidP="00154398">
      <w:pPr>
        <w:pStyle w:val="FootnoteText"/>
        <w:rPr>
          <w:rFonts w:ascii="Times New Roman" w:eastAsia="Times New Roman" w:hAnsi="Times New Roman" w:cs="Times New Roman"/>
        </w:rPr>
      </w:pPr>
      <w:r w:rsidRPr="006610F5">
        <w:rPr>
          <w:rStyle w:val="FootnoteReference"/>
          <w:rFonts w:ascii="Times New Roman" w:eastAsia="Times New Roman" w:hAnsi="Times New Roman" w:cs="Times New Roman"/>
        </w:rPr>
        <w:footnoteRef/>
      </w:r>
      <w:r w:rsidRPr="006610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the purposes of the RS 2015, the amount was EUR 235; in ILC Survey the amount was EUR 200. </w:t>
      </w:r>
    </w:p>
  </w:footnote>
  <w:footnote w:id="9">
    <w:p w14:paraId="6E0BD083" w14:textId="37D1FF17" w:rsidR="002D74D5" w:rsidRPr="006610F5" w:rsidRDefault="002D74D5" w:rsidP="00A52027">
      <w:pPr>
        <w:pStyle w:val="FootnoteText"/>
        <w:rPr>
          <w:rFonts w:ascii="Times New Roman" w:hAnsi="Times New Roman" w:cs="Times New Roman"/>
        </w:rPr>
      </w:pPr>
      <w:r w:rsidRPr="006610F5">
        <w:rPr>
          <w:rStyle w:val="FootnoteCharacters"/>
          <w:rFonts w:ascii="Times New Roman" w:hAnsi="Times New Roman" w:cs="Times New Roman"/>
        </w:rPr>
        <w:footnoteRef/>
      </w:r>
      <w:r w:rsidRPr="00661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Individuals who indicated the numbre of months: RS</w:t>
      </w:r>
      <w:r w:rsidRPr="006610F5">
        <w:rPr>
          <w:rFonts w:ascii="Times New Roman" w:hAnsi="Times New Roman" w:cs="Times New Roman"/>
        </w:rPr>
        <w:t xml:space="preserve"> 2015 – 57; </w:t>
      </w:r>
      <w:r>
        <w:rPr>
          <w:rFonts w:ascii="Times New Roman" w:hAnsi="Times New Roman" w:cs="Times New Roman"/>
        </w:rPr>
        <w:t>ILCS</w:t>
      </w:r>
      <w:r w:rsidRPr="006610F5">
        <w:rPr>
          <w:rFonts w:ascii="Times New Roman" w:hAnsi="Times New Roman" w:cs="Times New Roman"/>
        </w:rPr>
        <w:t xml:space="preserve"> 2013 – 10444.</w:t>
      </w:r>
    </w:p>
  </w:footnote>
  <w:footnote w:id="10">
    <w:p w14:paraId="564B1D8F" w14:textId="26A396C7" w:rsidR="002D74D5" w:rsidRPr="006610F5" w:rsidRDefault="002D74D5" w:rsidP="00A52027">
      <w:pPr>
        <w:pStyle w:val="FootnoteText"/>
        <w:rPr>
          <w:rFonts w:ascii="Times New Roman" w:hAnsi="Times New Roman" w:cs="Times New Roman"/>
        </w:rPr>
      </w:pPr>
      <w:r w:rsidRPr="006610F5">
        <w:rPr>
          <w:rStyle w:val="FootnoteCharacters"/>
          <w:rFonts w:ascii="Times New Roman" w:hAnsi="Times New Roman" w:cs="Times New Roman"/>
        </w:rPr>
        <w:footnoteRef/>
      </w:r>
      <w:r w:rsidRPr="00661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Includes all population from 0 years of age. The questions about sources of income used in ILCS </w:t>
      </w:r>
      <w:r w:rsidRPr="006610F5">
        <w:rPr>
          <w:rFonts w:ascii="Times New Roman" w:hAnsi="Times New Roman" w:cs="Times New Roman"/>
        </w:rPr>
        <w:t xml:space="preserve">2013 </w:t>
      </w:r>
      <w:r>
        <w:rPr>
          <w:rFonts w:ascii="Times New Roman" w:hAnsi="Times New Roman" w:cs="Times New Roman"/>
        </w:rPr>
        <w:t xml:space="preserve">are not identical to those of RS 2015; thus comparison with Census 2011 is more accurate. </w:t>
      </w:r>
    </w:p>
  </w:footnote>
  <w:footnote w:id="11">
    <w:p w14:paraId="1AB9ED6A" w14:textId="570A0677" w:rsidR="002D74D5" w:rsidRPr="006610F5" w:rsidRDefault="002D74D5" w:rsidP="00A52027">
      <w:pPr>
        <w:pStyle w:val="FootnoteText"/>
        <w:rPr>
          <w:rFonts w:ascii="Times New Roman" w:hAnsi="Times New Roman" w:cs="Times New Roman"/>
        </w:rPr>
      </w:pPr>
      <w:r w:rsidRPr="006610F5">
        <w:rPr>
          <w:rStyle w:val="FootnoteCharacters"/>
          <w:rFonts w:ascii="Times New Roman" w:hAnsi="Times New Roman" w:cs="Times New Roman"/>
        </w:rPr>
        <w:footnoteRef/>
      </w:r>
      <w:r w:rsidRPr="00661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ILCS</w:t>
      </w:r>
      <w:r w:rsidRPr="006610F5"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>,</w:t>
      </w:r>
      <w:r w:rsidRPr="00661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questions about health were given to individuals of 16 years old or older</w:t>
      </w:r>
      <w:r w:rsidRPr="006610F5">
        <w:rPr>
          <w:rFonts w:ascii="Times New Roman" w:hAnsi="Times New Roman" w:cs="Times New Roman"/>
        </w:rPr>
        <w:t>.</w:t>
      </w:r>
    </w:p>
  </w:footnote>
  <w:footnote w:id="12">
    <w:p w14:paraId="69D5B5A6" w14:textId="2B80F5E6" w:rsidR="002D74D5" w:rsidRPr="006610F5" w:rsidRDefault="002D74D5" w:rsidP="00A52027">
      <w:pPr>
        <w:pStyle w:val="FootnoteText"/>
        <w:rPr>
          <w:rFonts w:ascii="Times New Roman" w:hAnsi="Times New Roman" w:cs="Times New Roman"/>
        </w:rPr>
      </w:pPr>
      <w:r w:rsidRPr="006610F5">
        <w:rPr>
          <w:rStyle w:val="FootnoteCharacters"/>
          <w:rFonts w:ascii="Times New Roman" w:hAnsi="Times New Roman" w:cs="Times New Roman"/>
        </w:rPr>
        <w:footnoteRef/>
      </w:r>
      <w:r w:rsidRPr="00661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ILCS</w:t>
      </w:r>
      <w:r w:rsidRPr="006610F5"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 xml:space="preserve">, indication of  </w:t>
      </w:r>
      <w:r w:rsidRPr="006610F5">
        <w:rPr>
          <w:rFonts w:ascii="Times New Roman" w:hAnsi="Times New Roman" w:cs="Times New Roman"/>
        </w:rPr>
        <w:t xml:space="preserve">&gt;0 </w:t>
      </w:r>
      <w:r>
        <w:rPr>
          <w:rFonts w:ascii="Times New Roman" w:hAnsi="Times New Roman" w:cs="Times New Roman"/>
        </w:rPr>
        <w:t>hours/week per relevant type of care was qualified as “attendance”</w:t>
      </w:r>
      <w:r w:rsidRPr="006610F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60CBF"/>
    <w:multiLevelType w:val="hybridMultilevel"/>
    <w:tmpl w:val="BB148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3D2A"/>
    <w:multiLevelType w:val="multilevel"/>
    <w:tmpl w:val="705ACDD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  <w:sz w:val="22"/>
      </w:rPr>
    </w:lvl>
  </w:abstractNum>
  <w:abstractNum w:abstractNumId="3">
    <w:nsid w:val="0EC96655"/>
    <w:multiLevelType w:val="hybridMultilevel"/>
    <w:tmpl w:val="D5B419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4351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6C2D46"/>
    <w:multiLevelType w:val="hybridMultilevel"/>
    <w:tmpl w:val="BB148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545D8"/>
    <w:multiLevelType w:val="hybridMultilevel"/>
    <w:tmpl w:val="CC7676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90156"/>
    <w:multiLevelType w:val="hybridMultilevel"/>
    <w:tmpl w:val="26BECA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D25D0"/>
    <w:multiLevelType w:val="hybridMultilevel"/>
    <w:tmpl w:val="D4E871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83EEB"/>
    <w:multiLevelType w:val="hybridMultilevel"/>
    <w:tmpl w:val="FC26F5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70107"/>
    <w:multiLevelType w:val="hybridMultilevel"/>
    <w:tmpl w:val="3B687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65CA"/>
    <w:multiLevelType w:val="hybridMultilevel"/>
    <w:tmpl w:val="745C4D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C4"/>
    <w:rsid w:val="00004CB0"/>
    <w:rsid w:val="000114A3"/>
    <w:rsid w:val="000116C7"/>
    <w:rsid w:val="00017D44"/>
    <w:rsid w:val="000200F0"/>
    <w:rsid w:val="00023C04"/>
    <w:rsid w:val="000278E6"/>
    <w:rsid w:val="00036EA4"/>
    <w:rsid w:val="00041F5F"/>
    <w:rsid w:val="0004282C"/>
    <w:rsid w:val="00047587"/>
    <w:rsid w:val="0005576C"/>
    <w:rsid w:val="0005782B"/>
    <w:rsid w:val="00075110"/>
    <w:rsid w:val="0007587E"/>
    <w:rsid w:val="00083546"/>
    <w:rsid w:val="00084526"/>
    <w:rsid w:val="000852AB"/>
    <w:rsid w:val="00091FC9"/>
    <w:rsid w:val="00092F47"/>
    <w:rsid w:val="000A069C"/>
    <w:rsid w:val="000A2084"/>
    <w:rsid w:val="000A7666"/>
    <w:rsid w:val="000B3191"/>
    <w:rsid w:val="000B693A"/>
    <w:rsid w:val="000C0255"/>
    <w:rsid w:val="000C4B20"/>
    <w:rsid w:val="000C6B8C"/>
    <w:rsid w:val="000D061E"/>
    <w:rsid w:val="000D410B"/>
    <w:rsid w:val="000E0662"/>
    <w:rsid w:val="000E40E4"/>
    <w:rsid w:val="000E4EE5"/>
    <w:rsid w:val="000E4F36"/>
    <w:rsid w:val="000E5432"/>
    <w:rsid w:val="000E60D3"/>
    <w:rsid w:val="000E78F4"/>
    <w:rsid w:val="000E7DAD"/>
    <w:rsid w:val="000F41FA"/>
    <w:rsid w:val="00104258"/>
    <w:rsid w:val="001075FC"/>
    <w:rsid w:val="00114D47"/>
    <w:rsid w:val="001228AD"/>
    <w:rsid w:val="001251B3"/>
    <w:rsid w:val="00125D58"/>
    <w:rsid w:val="001262C6"/>
    <w:rsid w:val="00127783"/>
    <w:rsid w:val="001306DF"/>
    <w:rsid w:val="001315B5"/>
    <w:rsid w:val="00131CCF"/>
    <w:rsid w:val="00142C86"/>
    <w:rsid w:val="001445CE"/>
    <w:rsid w:val="00144662"/>
    <w:rsid w:val="00145038"/>
    <w:rsid w:val="00145A09"/>
    <w:rsid w:val="001512DA"/>
    <w:rsid w:val="00154398"/>
    <w:rsid w:val="001544A7"/>
    <w:rsid w:val="00154895"/>
    <w:rsid w:val="001567E8"/>
    <w:rsid w:val="00160461"/>
    <w:rsid w:val="00161EBC"/>
    <w:rsid w:val="00163DD1"/>
    <w:rsid w:val="001658AF"/>
    <w:rsid w:val="00167B54"/>
    <w:rsid w:val="00173062"/>
    <w:rsid w:val="001803CD"/>
    <w:rsid w:val="00181A36"/>
    <w:rsid w:val="00186797"/>
    <w:rsid w:val="001916D6"/>
    <w:rsid w:val="00195F25"/>
    <w:rsid w:val="001A3E6C"/>
    <w:rsid w:val="001A5786"/>
    <w:rsid w:val="001B0B66"/>
    <w:rsid w:val="001B71FD"/>
    <w:rsid w:val="001C49C4"/>
    <w:rsid w:val="001C4A19"/>
    <w:rsid w:val="001D060E"/>
    <w:rsid w:val="001D3DE3"/>
    <w:rsid w:val="001D7DAF"/>
    <w:rsid w:val="001E23F7"/>
    <w:rsid w:val="001E2507"/>
    <w:rsid w:val="00202348"/>
    <w:rsid w:val="00205482"/>
    <w:rsid w:val="002076AF"/>
    <w:rsid w:val="00207C34"/>
    <w:rsid w:val="00213CA1"/>
    <w:rsid w:val="00215487"/>
    <w:rsid w:val="00224FD1"/>
    <w:rsid w:val="00227295"/>
    <w:rsid w:val="00234B74"/>
    <w:rsid w:val="002362C2"/>
    <w:rsid w:val="00240426"/>
    <w:rsid w:val="002430B2"/>
    <w:rsid w:val="0024332C"/>
    <w:rsid w:val="002448EB"/>
    <w:rsid w:val="002463BF"/>
    <w:rsid w:val="00246910"/>
    <w:rsid w:val="00252D7E"/>
    <w:rsid w:val="00253CB0"/>
    <w:rsid w:val="00254C76"/>
    <w:rsid w:val="002553D6"/>
    <w:rsid w:val="00256ECB"/>
    <w:rsid w:val="00257A87"/>
    <w:rsid w:val="0027695B"/>
    <w:rsid w:val="002817AD"/>
    <w:rsid w:val="00282F0A"/>
    <w:rsid w:val="00293FCD"/>
    <w:rsid w:val="002A0318"/>
    <w:rsid w:val="002A192E"/>
    <w:rsid w:val="002B3DF0"/>
    <w:rsid w:val="002B468C"/>
    <w:rsid w:val="002B6CB1"/>
    <w:rsid w:val="002C0AD4"/>
    <w:rsid w:val="002D74D5"/>
    <w:rsid w:val="002E1CF6"/>
    <w:rsid w:val="002E4C2C"/>
    <w:rsid w:val="002E690C"/>
    <w:rsid w:val="002E76FA"/>
    <w:rsid w:val="002F576F"/>
    <w:rsid w:val="00300190"/>
    <w:rsid w:val="003056CA"/>
    <w:rsid w:val="00306EEB"/>
    <w:rsid w:val="00306FAC"/>
    <w:rsid w:val="0031006A"/>
    <w:rsid w:val="00310157"/>
    <w:rsid w:val="003106BE"/>
    <w:rsid w:val="00322351"/>
    <w:rsid w:val="0033757A"/>
    <w:rsid w:val="00344589"/>
    <w:rsid w:val="003530ED"/>
    <w:rsid w:val="00355B3C"/>
    <w:rsid w:val="00370140"/>
    <w:rsid w:val="00370A18"/>
    <w:rsid w:val="00370A34"/>
    <w:rsid w:val="00371E84"/>
    <w:rsid w:val="003728B0"/>
    <w:rsid w:val="003741D2"/>
    <w:rsid w:val="00374BC6"/>
    <w:rsid w:val="003751D1"/>
    <w:rsid w:val="00375E98"/>
    <w:rsid w:val="00391D30"/>
    <w:rsid w:val="00393AD2"/>
    <w:rsid w:val="0039621B"/>
    <w:rsid w:val="00396887"/>
    <w:rsid w:val="003A5062"/>
    <w:rsid w:val="003B3AEE"/>
    <w:rsid w:val="003C329B"/>
    <w:rsid w:val="003C65A5"/>
    <w:rsid w:val="003D1EEC"/>
    <w:rsid w:val="003D68FF"/>
    <w:rsid w:val="003D7817"/>
    <w:rsid w:val="003E22FC"/>
    <w:rsid w:val="003E3EC4"/>
    <w:rsid w:val="003E5937"/>
    <w:rsid w:val="003F1677"/>
    <w:rsid w:val="003F72AF"/>
    <w:rsid w:val="004137AB"/>
    <w:rsid w:val="00417CEE"/>
    <w:rsid w:val="00420373"/>
    <w:rsid w:val="00421D85"/>
    <w:rsid w:val="004312CE"/>
    <w:rsid w:val="004326CB"/>
    <w:rsid w:val="00433C4C"/>
    <w:rsid w:val="00437BFB"/>
    <w:rsid w:val="00440A2D"/>
    <w:rsid w:val="004427EE"/>
    <w:rsid w:val="00443DD6"/>
    <w:rsid w:val="00445628"/>
    <w:rsid w:val="004505E2"/>
    <w:rsid w:val="00452BE9"/>
    <w:rsid w:val="00461E60"/>
    <w:rsid w:val="00466D3F"/>
    <w:rsid w:val="00467D2B"/>
    <w:rsid w:val="004749F2"/>
    <w:rsid w:val="00484A5B"/>
    <w:rsid w:val="0048631A"/>
    <w:rsid w:val="004874CB"/>
    <w:rsid w:val="00491F15"/>
    <w:rsid w:val="00494094"/>
    <w:rsid w:val="0049517D"/>
    <w:rsid w:val="00496BF5"/>
    <w:rsid w:val="00497FC5"/>
    <w:rsid w:val="004A31D7"/>
    <w:rsid w:val="004A4833"/>
    <w:rsid w:val="004C0DB4"/>
    <w:rsid w:val="004C500B"/>
    <w:rsid w:val="004C5E8E"/>
    <w:rsid w:val="004D3207"/>
    <w:rsid w:val="004D39C4"/>
    <w:rsid w:val="004D6D4C"/>
    <w:rsid w:val="004D7D2A"/>
    <w:rsid w:val="004E534D"/>
    <w:rsid w:val="004F0C61"/>
    <w:rsid w:val="00504488"/>
    <w:rsid w:val="00505B04"/>
    <w:rsid w:val="0051142F"/>
    <w:rsid w:val="00511A95"/>
    <w:rsid w:val="0051361A"/>
    <w:rsid w:val="0051643E"/>
    <w:rsid w:val="00522EDE"/>
    <w:rsid w:val="005235C4"/>
    <w:rsid w:val="00524453"/>
    <w:rsid w:val="005264FD"/>
    <w:rsid w:val="00532FAD"/>
    <w:rsid w:val="00533CFC"/>
    <w:rsid w:val="00536191"/>
    <w:rsid w:val="005409FB"/>
    <w:rsid w:val="005417F0"/>
    <w:rsid w:val="00542F78"/>
    <w:rsid w:val="005444E6"/>
    <w:rsid w:val="00545BB6"/>
    <w:rsid w:val="00547AE0"/>
    <w:rsid w:val="005545F0"/>
    <w:rsid w:val="00555D62"/>
    <w:rsid w:val="0056241E"/>
    <w:rsid w:val="005635AA"/>
    <w:rsid w:val="00566B7B"/>
    <w:rsid w:val="00571BF4"/>
    <w:rsid w:val="00574B51"/>
    <w:rsid w:val="00575D31"/>
    <w:rsid w:val="005778C9"/>
    <w:rsid w:val="00577E73"/>
    <w:rsid w:val="00582C44"/>
    <w:rsid w:val="00584712"/>
    <w:rsid w:val="00584A1F"/>
    <w:rsid w:val="00586576"/>
    <w:rsid w:val="005922B3"/>
    <w:rsid w:val="005943B5"/>
    <w:rsid w:val="0059503B"/>
    <w:rsid w:val="00597BFC"/>
    <w:rsid w:val="005A3DC7"/>
    <w:rsid w:val="005A6322"/>
    <w:rsid w:val="005B0629"/>
    <w:rsid w:val="005B3CFA"/>
    <w:rsid w:val="005B7FF8"/>
    <w:rsid w:val="005C3E16"/>
    <w:rsid w:val="005D361F"/>
    <w:rsid w:val="005E4711"/>
    <w:rsid w:val="005E5113"/>
    <w:rsid w:val="005E740D"/>
    <w:rsid w:val="00606D6C"/>
    <w:rsid w:val="00607290"/>
    <w:rsid w:val="00611970"/>
    <w:rsid w:val="00612677"/>
    <w:rsid w:val="006126E9"/>
    <w:rsid w:val="00613F2A"/>
    <w:rsid w:val="00620892"/>
    <w:rsid w:val="0062408E"/>
    <w:rsid w:val="00624B4F"/>
    <w:rsid w:val="0063123E"/>
    <w:rsid w:val="006313FD"/>
    <w:rsid w:val="00633AEE"/>
    <w:rsid w:val="006343A1"/>
    <w:rsid w:val="00636477"/>
    <w:rsid w:val="00650EF9"/>
    <w:rsid w:val="00654316"/>
    <w:rsid w:val="006610F5"/>
    <w:rsid w:val="006633BC"/>
    <w:rsid w:val="00665A4A"/>
    <w:rsid w:val="0067072C"/>
    <w:rsid w:val="00674335"/>
    <w:rsid w:val="006746D6"/>
    <w:rsid w:val="006748A7"/>
    <w:rsid w:val="00674FE5"/>
    <w:rsid w:val="0067510F"/>
    <w:rsid w:val="006752A0"/>
    <w:rsid w:val="00675F15"/>
    <w:rsid w:val="00676268"/>
    <w:rsid w:val="006769FF"/>
    <w:rsid w:val="00682C43"/>
    <w:rsid w:val="00683400"/>
    <w:rsid w:val="00691442"/>
    <w:rsid w:val="0069572B"/>
    <w:rsid w:val="00697AFC"/>
    <w:rsid w:val="006A5211"/>
    <w:rsid w:val="006B0445"/>
    <w:rsid w:val="006B148F"/>
    <w:rsid w:val="006B200E"/>
    <w:rsid w:val="006B2510"/>
    <w:rsid w:val="006B6020"/>
    <w:rsid w:val="006B6BE5"/>
    <w:rsid w:val="006C23F0"/>
    <w:rsid w:val="006C5C48"/>
    <w:rsid w:val="006D5316"/>
    <w:rsid w:val="006E3E64"/>
    <w:rsid w:val="006F4B29"/>
    <w:rsid w:val="006F4E66"/>
    <w:rsid w:val="006F7BEF"/>
    <w:rsid w:val="00702966"/>
    <w:rsid w:val="0070594C"/>
    <w:rsid w:val="00706FEE"/>
    <w:rsid w:val="00710712"/>
    <w:rsid w:val="00710A42"/>
    <w:rsid w:val="0071237D"/>
    <w:rsid w:val="00714577"/>
    <w:rsid w:val="00717880"/>
    <w:rsid w:val="00720FDE"/>
    <w:rsid w:val="00722398"/>
    <w:rsid w:val="0072318E"/>
    <w:rsid w:val="0072366D"/>
    <w:rsid w:val="007236DC"/>
    <w:rsid w:val="00724DB2"/>
    <w:rsid w:val="00726069"/>
    <w:rsid w:val="00727DD8"/>
    <w:rsid w:val="00731295"/>
    <w:rsid w:val="0073136E"/>
    <w:rsid w:val="00732071"/>
    <w:rsid w:val="00732E8B"/>
    <w:rsid w:val="00736BE4"/>
    <w:rsid w:val="007402B2"/>
    <w:rsid w:val="007415C3"/>
    <w:rsid w:val="00741C9A"/>
    <w:rsid w:val="00742D71"/>
    <w:rsid w:val="0074637C"/>
    <w:rsid w:val="00753381"/>
    <w:rsid w:val="00763EAE"/>
    <w:rsid w:val="00766546"/>
    <w:rsid w:val="00766770"/>
    <w:rsid w:val="00774821"/>
    <w:rsid w:val="00776F89"/>
    <w:rsid w:val="007845C4"/>
    <w:rsid w:val="00785F21"/>
    <w:rsid w:val="00791F63"/>
    <w:rsid w:val="007939FA"/>
    <w:rsid w:val="007A0408"/>
    <w:rsid w:val="007A2FC3"/>
    <w:rsid w:val="007A7166"/>
    <w:rsid w:val="007B3C8A"/>
    <w:rsid w:val="007B7B7A"/>
    <w:rsid w:val="007C18BB"/>
    <w:rsid w:val="007C36EB"/>
    <w:rsid w:val="007C7917"/>
    <w:rsid w:val="007D0D46"/>
    <w:rsid w:val="007E0514"/>
    <w:rsid w:val="007E5086"/>
    <w:rsid w:val="007E7692"/>
    <w:rsid w:val="007F2C52"/>
    <w:rsid w:val="007F2D6E"/>
    <w:rsid w:val="007F4B84"/>
    <w:rsid w:val="007F571C"/>
    <w:rsid w:val="007F59DB"/>
    <w:rsid w:val="007F6287"/>
    <w:rsid w:val="008001B9"/>
    <w:rsid w:val="00802524"/>
    <w:rsid w:val="008112C1"/>
    <w:rsid w:val="00812657"/>
    <w:rsid w:val="0081428E"/>
    <w:rsid w:val="008145A9"/>
    <w:rsid w:val="0082037C"/>
    <w:rsid w:val="00821723"/>
    <w:rsid w:val="00823979"/>
    <w:rsid w:val="00826415"/>
    <w:rsid w:val="008264A2"/>
    <w:rsid w:val="00827A0D"/>
    <w:rsid w:val="00832C8A"/>
    <w:rsid w:val="00840CAD"/>
    <w:rsid w:val="008453DF"/>
    <w:rsid w:val="0085467B"/>
    <w:rsid w:val="00861A3F"/>
    <w:rsid w:val="008633E2"/>
    <w:rsid w:val="00864147"/>
    <w:rsid w:val="00864AA4"/>
    <w:rsid w:val="0087365B"/>
    <w:rsid w:val="008749F3"/>
    <w:rsid w:val="00893D08"/>
    <w:rsid w:val="008947EB"/>
    <w:rsid w:val="00896BAC"/>
    <w:rsid w:val="008A2965"/>
    <w:rsid w:val="008A31A1"/>
    <w:rsid w:val="008A6CA9"/>
    <w:rsid w:val="008A7BD0"/>
    <w:rsid w:val="008B466E"/>
    <w:rsid w:val="008D1625"/>
    <w:rsid w:val="008E0A39"/>
    <w:rsid w:val="008E5FED"/>
    <w:rsid w:val="008F5F24"/>
    <w:rsid w:val="009013C6"/>
    <w:rsid w:val="00903953"/>
    <w:rsid w:val="00907640"/>
    <w:rsid w:val="00913719"/>
    <w:rsid w:val="009158AD"/>
    <w:rsid w:val="00921C59"/>
    <w:rsid w:val="0095333C"/>
    <w:rsid w:val="00954646"/>
    <w:rsid w:val="009639F0"/>
    <w:rsid w:val="00964716"/>
    <w:rsid w:val="00977D8B"/>
    <w:rsid w:val="009949FE"/>
    <w:rsid w:val="0099576F"/>
    <w:rsid w:val="009A56A9"/>
    <w:rsid w:val="009A5872"/>
    <w:rsid w:val="009C04BF"/>
    <w:rsid w:val="009C339F"/>
    <w:rsid w:val="009C52E5"/>
    <w:rsid w:val="009C6442"/>
    <w:rsid w:val="009C730D"/>
    <w:rsid w:val="009D03C4"/>
    <w:rsid w:val="009E00EF"/>
    <w:rsid w:val="009E1003"/>
    <w:rsid w:val="009E2BB4"/>
    <w:rsid w:val="009E2CE3"/>
    <w:rsid w:val="009E75E6"/>
    <w:rsid w:val="009E7E6C"/>
    <w:rsid w:val="009F1156"/>
    <w:rsid w:val="009F196F"/>
    <w:rsid w:val="009F327B"/>
    <w:rsid w:val="009F75C2"/>
    <w:rsid w:val="00A05E4F"/>
    <w:rsid w:val="00A069CE"/>
    <w:rsid w:val="00A06BC8"/>
    <w:rsid w:val="00A133D0"/>
    <w:rsid w:val="00A14431"/>
    <w:rsid w:val="00A22CAC"/>
    <w:rsid w:val="00A411FF"/>
    <w:rsid w:val="00A418B8"/>
    <w:rsid w:val="00A43352"/>
    <w:rsid w:val="00A436B7"/>
    <w:rsid w:val="00A439CC"/>
    <w:rsid w:val="00A451BF"/>
    <w:rsid w:val="00A461EC"/>
    <w:rsid w:val="00A47260"/>
    <w:rsid w:val="00A5099A"/>
    <w:rsid w:val="00A52027"/>
    <w:rsid w:val="00A5363C"/>
    <w:rsid w:val="00A5777A"/>
    <w:rsid w:val="00A6016F"/>
    <w:rsid w:val="00A602AC"/>
    <w:rsid w:val="00A61FBD"/>
    <w:rsid w:val="00A645F0"/>
    <w:rsid w:val="00A6723E"/>
    <w:rsid w:val="00A70225"/>
    <w:rsid w:val="00A73CD3"/>
    <w:rsid w:val="00A82D6B"/>
    <w:rsid w:val="00A85998"/>
    <w:rsid w:val="00A87108"/>
    <w:rsid w:val="00A91224"/>
    <w:rsid w:val="00A94A2A"/>
    <w:rsid w:val="00AA04CF"/>
    <w:rsid w:val="00AA3C46"/>
    <w:rsid w:val="00AA4AFF"/>
    <w:rsid w:val="00AA7E19"/>
    <w:rsid w:val="00AA7FC7"/>
    <w:rsid w:val="00AB0065"/>
    <w:rsid w:val="00AB5A7D"/>
    <w:rsid w:val="00AB765F"/>
    <w:rsid w:val="00AC0003"/>
    <w:rsid w:val="00AC3BA8"/>
    <w:rsid w:val="00AC7B46"/>
    <w:rsid w:val="00AD2896"/>
    <w:rsid w:val="00AE3EFA"/>
    <w:rsid w:val="00AE522A"/>
    <w:rsid w:val="00AE64E8"/>
    <w:rsid w:val="00AF07D9"/>
    <w:rsid w:val="00AF1D2E"/>
    <w:rsid w:val="00B0022A"/>
    <w:rsid w:val="00B019C0"/>
    <w:rsid w:val="00B053F4"/>
    <w:rsid w:val="00B066D8"/>
    <w:rsid w:val="00B070A5"/>
    <w:rsid w:val="00B10DC2"/>
    <w:rsid w:val="00B135B9"/>
    <w:rsid w:val="00B140AB"/>
    <w:rsid w:val="00B1475D"/>
    <w:rsid w:val="00B15875"/>
    <w:rsid w:val="00B15984"/>
    <w:rsid w:val="00B16BBA"/>
    <w:rsid w:val="00B20910"/>
    <w:rsid w:val="00B210D9"/>
    <w:rsid w:val="00B254C3"/>
    <w:rsid w:val="00B272BA"/>
    <w:rsid w:val="00B30B77"/>
    <w:rsid w:val="00B3748A"/>
    <w:rsid w:val="00B37B9D"/>
    <w:rsid w:val="00B44908"/>
    <w:rsid w:val="00B44A23"/>
    <w:rsid w:val="00B56CCF"/>
    <w:rsid w:val="00B57409"/>
    <w:rsid w:val="00B60AAF"/>
    <w:rsid w:val="00B71E6B"/>
    <w:rsid w:val="00B739C6"/>
    <w:rsid w:val="00B8240D"/>
    <w:rsid w:val="00B8572B"/>
    <w:rsid w:val="00B86387"/>
    <w:rsid w:val="00B879EC"/>
    <w:rsid w:val="00B95739"/>
    <w:rsid w:val="00BA0728"/>
    <w:rsid w:val="00BA4328"/>
    <w:rsid w:val="00BA5F28"/>
    <w:rsid w:val="00BB044A"/>
    <w:rsid w:val="00BB5F82"/>
    <w:rsid w:val="00BB7229"/>
    <w:rsid w:val="00BC1A28"/>
    <w:rsid w:val="00BC2C2B"/>
    <w:rsid w:val="00BC59E7"/>
    <w:rsid w:val="00BC5F26"/>
    <w:rsid w:val="00BC7DD1"/>
    <w:rsid w:val="00BD0A5C"/>
    <w:rsid w:val="00BD2E08"/>
    <w:rsid w:val="00BD684C"/>
    <w:rsid w:val="00BE31E3"/>
    <w:rsid w:val="00BE4997"/>
    <w:rsid w:val="00BE727C"/>
    <w:rsid w:val="00BF245C"/>
    <w:rsid w:val="00C03655"/>
    <w:rsid w:val="00C04B23"/>
    <w:rsid w:val="00C055EB"/>
    <w:rsid w:val="00C060ED"/>
    <w:rsid w:val="00C064AA"/>
    <w:rsid w:val="00C07658"/>
    <w:rsid w:val="00C2025B"/>
    <w:rsid w:val="00C212A5"/>
    <w:rsid w:val="00C3217F"/>
    <w:rsid w:val="00C341C8"/>
    <w:rsid w:val="00C37241"/>
    <w:rsid w:val="00C44C66"/>
    <w:rsid w:val="00C45729"/>
    <w:rsid w:val="00C51765"/>
    <w:rsid w:val="00C55019"/>
    <w:rsid w:val="00C5509D"/>
    <w:rsid w:val="00C60AA2"/>
    <w:rsid w:val="00C612B7"/>
    <w:rsid w:val="00C6361E"/>
    <w:rsid w:val="00C64A86"/>
    <w:rsid w:val="00C72B61"/>
    <w:rsid w:val="00C74AEA"/>
    <w:rsid w:val="00C76421"/>
    <w:rsid w:val="00C816D9"/>
    <w:rsid w:val="00C82AB9"/>
    <w:rsid w:val="00C85079"/>
    <w:rsid w:val="00C879D1"/>
    <w:rsid w:val="00C87FEF"/>
    <w:rsid w:val="00C915F4"/>
    <w:rsid w:val="00C949DE"/>
    <w:rsid w:val="00C9534C"/>
    <w:rsid w:val="00C96189"/>
    <w:rsid w:val="00CA1F8F"/>
    <w:rsid w:val="00CA5B1A"/>
    <w:rsid w:val="00CB2E8B"/>
    <w:rsid w:val="00CB41DC"/>
    <w:rsid w:val="00CB7FC5"/>
    <w:rsid w:val="00CC7BC4"/>
    <w:rsid w:val="00CD33F2"/>
    <w:rsid w:val="00CD4FF9"/>
    <w:rsid w:val="00CE2DC9"/>
    <w:rsid w:val="00CE352D"/>
    <w:rsid w:val="00CF1114"/>
    <w:rsid w:val="00D014C3"/>
    <w:rsid w:val="00D01DC9"/>
    <w:rsid w:val="00D01F18"/>
    <w:rsid w:val="00D06ECC"/>
    <w:rsid w:val="00D074B6"/>
    <w:rsid w:val="00D07B86"/>
    <w:rsid w:val="00D10294"/>
    <w:rsid w:val="00D10C18"/>
    <w:rsid w:val="00D1306E"/>
    <w:rsid w:val="00D149B9"/>
    <w:rsid w:val="00D219FA"/>
    <w:rsid w:val="00D235E9"/>
    <w:rsid w:val="00D25DB9"/>
    <w:rsid w:val="00D4292D"/>
    <w:rsid w:val="00D42BEC"/>
    <w:rsid w:val="00D5163D"/>
    <w:rsid w:val="00D53903"/>
    <w:rsid w:val="00D53F44"/>
    <w:rsid w:val="00D5635D"/>
    <w:rsid w:val="00D6215E"/>
    <w:rsid w:val="00D67A56"/>
    <w:rsid w:val="00D71C92"/>
    <w:rsid w:val="00D721ED"/>
    <w:rsid w:val="00D80C0B"/>
    <w:rsid w:val="00D82B45"/>
    <w:rsid w:val="00D86FDA"/>
    <w:rsid w:val="00D949C6"/>
    <w:rsid w:val="00D97653"/>
    <w:rsid w:val="00DA1AAA"/>
    <w:rsid w:val="00DA1E68"/>
    <w:rsid w:val="00DA284E"/>
    <w:rsid w:val="00DA4D29"/>
    <w:rsid w:val="00DB12AA"/>
    <w:rsid w:val="00DB1E7F"/>
    <w:rsid w:val="00DB63C4"/>
    <w:rsid w:val="00DB63FE"/>
    <w:rsid w:val="00DB6C12"/>
    <w:rsid w:val="00DC77B7"/>
    <w:rsid w:val="00DD59CC"/>
    <w:rsid w:val="00DE711D"/>
    <w:rsid w:val="00DF7B57"/>
    <w:rsid w:val="00E03990"/>
    <w:rsid w:val="00E06BB8"/>
    <w:rsid w:val="00E14DB6"/>
    <w:rsid w:val="00E152FB"/>
    <w:rsid w:val="00E21565"/>
    <w:rsid w:val="00E35992"/>
    <w:rsid w:val="00E50910"/>
    <w:rsid w:val="00E5196A"/>
    <w:rsid w:val="00E51F64"/>
    <w:rsid w:val="00E52395"/>
    <w:rsid w:val="00E53B1C"/>
    <w:rsid w:val="00E55C01"/>
    <w:rsid w:val="00E61D9D"/>
    <w:rsid w:val="00E64F09"/>
    <w:rsid w:val="00E67A44"/>
    <w:rsid w:val="00E67AEB"/>
    <w:rsid w:val="00E72745"/>
    <w:rsid w:val="00E74E5B"/>
    <w:rsid w:val="00E754F6"/>
    <w:rsid w:val="00E7715F"/>
    <w:rsid w:val="00E80B5B"/>
    <w:rsid w:val="00E83BFD"/>
    <w:rsid w:val="00E857AB"/>
    <w:rsid w:val="00E87DB9"/>
    <w:rsid w:val="00E93542"/>
    <w:rsid w:val="00E93A2A"/>
    <w:rsid w:val="00EA0441"/>
    <w:rsid w:val="00EA67FB"/>
    <w:rsid w:val="00EC22BA"/>
    <w:rsid w:val="00EC711D"/>
    <w:rsid w:val="00ED0112"/>
    <w:rsid w:val="00ED418F"/>
    <w:rsid w:val="00ED745B"/>
    <w:rsid w:val="00EE23AC"/>
    <w:rsid w:val="00EE5ADE"/>
    <w:rsid w:val="00F048CB"/>
    <w:rsid w:val="00F1075F"/>
    <w:rsid w:val="00F12961"/>
    <w:rsid w:val="00F31856"/>
    <w:rsid w:val="00F31D7D"/>
    <w:rsid w:val="00F51810"/>
    <w:rsid w:val="00F51B75"/>
    <w:rsid w:val="00F57F99"/>
    <w:rsid w:val="00F64976"/>
    <w:rsid w:val="00F73457"/>
    <w:rsid w:val="00F7474A"/>
    <w:rsid w:val="00F7498B"/>
    <w:rsid w:val="00F83F53"/>
    <w:rsid w:val="00F84F5F"/>
    <w:rsid w:val="00F871FF"/>
    <w:rsid w:val="00F87EB7"/>
    <w:rsid w:val="00F90AFD"/>
    <w:rsid w:val="00F96547"/>
    <w:rsid w:val="00F96820"/>
    <w:rsid w:val="00FA0CC4"/>
    <w:rsid w:val="00FA2C7B"/>
    <w:rsid w:val="00FA4B49"/>
    <w:rsid w:val="00FA5B04"/>
    <w:rsid w:val="00FB5F1B"/>
    <w:rsid w:val="00FC5D81"/>
    <w:rsid w:val="00FC5F0B"/>
    <w:rsid w:val="00FC6430"/>
    <w:rsid w:val="00FC6A91"/>
    <w:rsid w:val="00FC6B12"/>
    <w:rsid w:val="00FD08D8"/>
    <w:rsid w:val="00FD2E08"/>
    <w:rsid w:val="00FD3DD4"/>
    <w:rsid w:val="00FD49FD"/>
    <w:rsid w:val="00FE2B6C"/>
    <w:rsid w:val="00FE34EF"/>
    <w:rsid w:val="00FE40F5"/>
    <w:rsid w:val="00FF0551"/>
    <w:rsid w:val="00FF3BDD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99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C4"/>
    <w:rPr>
      <w:rFonts w:eastAsiaTheme="minorEastAsia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3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90"/>
    <w:rPr>
      <w:rFonts w:ascii="Tahoma" w:eastAsiaTheme="minorEastAsia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rsid w:val="007F2C5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C5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BB5F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5F82"/>
    <w:rPr>
      <w:rFonts w:eastAsiaTheme="minorEastAsia"/>
      <w:sz w:val="20"/>
      <w:szCs w:val="20"/>
      <w:lang w:eastAsia="lt-LT"/>
    </w:rPr>
  </w:style>
  <w:style w:type="character" w:styleId="FootnoteReference">
    <w:name w:val="footnote reference"/>
    <w:basedOn w:val="DefaultParagraphFont"/>
    <w:unhideWhenUsed/>
    <w:rsid w:val="00BB5F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72B"/>
    <w:rPr>
      <w:rFonts w:eastAsiaTheme="minorEastAsia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2B"/>
    <w:rPr>
      <w:rFonts w:eastAsiaTheme="minorEastAsia"/>
      <w:b/>
      <w:bCs/>
      <w:sz w:val="20"/>
      <w:szCs w:val="20"/>
      <w:lang w:eastAsia="lt-LT"/>
    </w:rPr>
  </w:style>
  <w:style w:type="character" w:customStyle="1" w:styleId="apple-converted-space">
    <w:name w:val="apple-converted-space"/>
    <w:basedOn w:val="DefaultParagraphFont"/>
    <w:rsid w:val="00BD2E08"/>
  </w:style>
  <w:style w:type="character" w:styleId="Strong">
    <w:name w:val="Strong"/>
    <w:basedOn w:val="DefaultParagraphFont"/>
    <w:uiPriority w:val="22"/>
    <w:qFormat/>
    <w:rsid w:val="00714577"/>
    <w:rPr>
      <w:b/>
      <w:bCs/>
    </w:rPr>
  </w:style>
  <w:style w:type="character" w:styleId="Emphasis">
    <w:name w:val="Emphasis"/>
    <w:basedOn w:val="DefaultParagraphFont"/>
    <w:uiPriority w:val="20"/>
    <w:qFormat/>
    <w:rsid w:val="0071457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12"/>
    <w:rPr>
      <w:rFonts w:eastAsiaTheme="minorEastAsia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FC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12"/>
    <w:rPr>
      <w:rFonts w:eastAsiaTheme="minorEastAsia"/>
      <w:lang w:eastAsia="lt-LT"/>
    </w:rPr>
  </w:style>
  <w:style w:type="table" w:styleId="TableGrid">
    <w:name w:val="Table Grid"/>
    <w:basedOn w:val="TableNormal"/>
    <w:uiPriority w:val="59"/>
    <w:rsid w:val="007A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74FE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4FE5"/>
    <w:rPr>
      <w:rFonts w:ascii="Calibri" w:eastAsia="Calibri" w:hAnsi="Calibri" w:cs="Times New Roman"/>
    </w:rPr>
  </w:style>
  <w:style w:type="paragraph" w:customStyle="1" w:styleId="Pagrindinistekstas1">
    <w:name w:val="Pagrindinis tekstas1"/>
    <w:uiPriority w:val="99"/>
    <w:rsid w:val="00674FE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Normal"/>
    <w:uiPriority w:val="99"/>
    <w:rsid w:val="00674FE5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0"/>
      <w:szCs w:val="20"/>
      <w:lang w:val="en-US" w:eastAsia="en-US"/>
    </w:rPr>
  </w:style>
  <w:style w:type="character" w:customStyle="1" w:styleId="FootnoteCharacters">
    <w:name w:val="Footnote Characters"/>
    <w:rsid w:val="00A5202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7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EAE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63E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EA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C4"/>
    <w:rPr>
      <w:rFonts w:eastAsiaTheme="minorEastAsia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3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90"/>
    <w:rPr>
      <w:rFonts w:ascii="Tahoma" w:eastAsiaTheme="minorEastAsia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rsid w:val="007F2C5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C5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BB5F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5F82"/>
    <w:rPr>
      <w:rFonts w:eastAsiaTheme="minorEastAsia"/>
      <w:sz w:val="20"/>
      <w:szCs w:val="20"/>
      <w:lang w:eastAsia="lt-LT"/>
    </w:rPr>
  </w:style>
  <w:style w:type="character" w:styleId="FootnoteReference">
    <w:name w:val="footnote reference"/>
    <w:basedOn w:val="DefaultParagraphFont"/>
    <w:unhideWhenUsed/>
    <w:rsid w:val="00BB5F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72B"/>
    <w:rPr>
      <w:rFonts w:eastAsiaTheme="minorEastAsia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2B"/>
    <w:rPr>
      <w:rFonts w:eastAsiaTheme="minorEastAsia"/>
      <w:b/>
      <w:bCs/>
      <w:sz w:val="20"/>
      <w:szCs w:val="20"/>
      <w:lang w:eastAsia="lt-LT"/>
    </w:rPr>
  </w:style>
  <w:style w:type="character" w:customStyle="1" w:styleId="apple-converted-space">
    <w:name w:val="apple-converted-space"/>
    <w:basedOn w:val="DefaultParagraphFont"/>
    <w:rsid w:val="00BD2E08"/>
  </w:style>
  <w:style w:type="character" w:styleId="Strong">
    <w:name w:val="Strong"/>
    <w:basedOn w:val="DefaultParagraphFont"/>
    <w:uiPriority w:val="22"/>
    <w:qFormat/>
    <w:rsid w:val="00714577"/>
    <w:rPr>
      <w:b/>
      <w:bCs/>
    </w:rPr>
  </w:style>
  <w:style w:type="character" w:styleId="Emphasis">
    <w:name w:val="Emphasis"/>
    <w:basedOn w:val="DefaultParagraphFont"/>
    <w:uiPriority w:val="20"/>
    <w:qFormat/>
    <w:rsid w:val="0071457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12"/>
    <w:rPr>
      <w:rFonts w:eastAsiaTheme="minorEastAsia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FC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12"/>
    <w:rPr>
      <w:rFonts w:eastAsiaTheme="minorEastAsia"/>
      <w:lang w:eastAsia="lt-LT"/>
    </w:rPr>
  </w:style>
  <w:style w:type="table" w:styleId="TableGrid">
    <w:name w:val="Table Grid"/>
    <w:basedOn w:val="TableNormal"/>
    <w:uiPriority w:val="59"/>
    <w:rsid w:val="007A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74FE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4FE5"/>
    <w:rPr>
      <w:rFonts w:ascii="Calibri" w:eastAsia="Calibri" w:hAnsi="Calibri" w:cs="Times New Roman"/>
    </w:rPr>
  </w:style>
  <w:style w:type="paragraph" w:customStyle="1" w:styleId="Pagrindinistekstas1">
    <w:name w:val="Pagrindinis tekstas1"/>
    <w:uiPriority w:val="99"/>
    <w:rsid w:val="00674FE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Normal"/>
    <w:uiPriority w:val="99"/>
    <w:rsid w:val="00674FE5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0"/>
      <w:szCs w:val="20"/>
      <w:lang w:val="en-US" w:eastAsia="en-US"/>
    </w:rPr>
  </w:style>
  <w:style w:type="character" w:customStyle="1" w:styleId="FootnoteCharacters">
    <w:name w:val="Footnote Characters"/>
    <w:rsid w:val="00A5202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7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EAE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63E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EA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chart" Target="charts/chart2.xml"/><Relationship Id="rId13" Type="http://schemas.openxmlformats.org/officeDocument/2006/relationships/chart" Target="charts/chart3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vita@ces.l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4a774b20a7c711e4a82d9548fb36f68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4%2012%2031%20kult&#363;ros%20ministerijai\3.%20OUTCOME\romai_amzius_issilavinim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4%2012%2031%20kult&#363;ros%20ministerijai\3.%20OUTCOME\romai_amzius_issilavinim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Sheet1!$B$5:$B$12</c:f>
              <c:strCache>
                <c:ptCount val="8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 ir daugiau</c:v>
                </c:pt>
              </c:strCache>
            </c:strRef>
          </c:cat>
          <c:val>
            <c:numRef>
              <c:f>Sheet1!$C$5:$C$12</c:f>
              <c:numCache>
                <c:formatCode>0</c:formatCode>
                <c:ptCount val="8"/>
                <c:pt idx="0">
                  <c:v>26.3</c:v>
                </c:pt>
                <c:pt idx="1">
                  <c:v>29.0</c:v>
                </c:pt>
                <c:pt idx="2">
                  <c:v>12.7</c:v>
                </c:pt>
                <c:pt idx="3">
                  <c:v>10.9</c:v>
                </c:pt>
                <c:pt idx="4">
                  <c:v>7.7</c:v>
                </c:pt>
                <c:pt idx="5">
                  <c:v>8.4</c:v>
                </c:pt>
                <c:pt idx="6">
                  <c:v>3.6</c:v>
                </c:pt>
                <c:pt idx="7">
                  <c:v>1.6</c:v>
                </c:pt>
              </c:numCache>
            </c:numRef>
          </c:val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Sheet1!$B$5:$B$12</c:f>
              <c:strCache>
                <c:ptCount val="8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 ir daugiau</c:v>
                </c:pt>
              </c:strCache>
            </c:strRef>
          </c:cat>
          <c:val>
            <c:numRef>
              <c:f>Sheet1!$D$5:$D$12</c:f>
              <c:numCache>
                <c:formatCode>General</c:formatCode>
                <c:ptCount val="8"/>
                <c:pt idx="0">
                  <c:v>21.0</c:v>
                </c:pt>
                <c:pt idx="1">
                  <c:v>28.0</c:v>
                </c:pt>
                <c:pt idx="2">
                  <c:v>14.0</c:v>
                </c:pt>
                <c:pt idx="3">
                  <c:v>11.0</c:v>
                </c:pt>
                <c:pt idx="4">
                  <c:v>8.0</c:v>
                </c:pt>
                <c:pt idx="5">
                  <c:v>10.0</c:v>
                </c:pt>
                <c:pt idx="6">
                  <c:v>4.0</c:v>
                </c:pt>
                <c:pt idx="7">
                  <c:v>2.0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120251640"/>
        <c:axId val="2112449944"/>
      </c:barChart>
      <c:catAx>
        <c:axId val="-2120251640"/>
        <c:scaling>
          <c:orientation val="minMax"/>
        </c:scaling>
        <c:delete val="0"/>
        <c:axPos val="l"/>
        <c:majorTickMark val="out"/>
        <c:minorTickMark val="none"/>
        <c:tickLblPos val="nextTo"/>
        <c:crossAx val="2112449944"/>
        <c:crosses val="autoZero"/>
        <c:auto val="1"/>
        <c:lblAlgn val="ctr"/>
        <c:lblOffset val="100"/>
        <c:noMultiLvlLbl val="0"/>
      </c:catAx>
      <c:valAx>
        <c:axId val="2112449944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-2120251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'2011 ir 2015'!$A$8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.0"/>
                  <c:y val="0.04392386530014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0899685110211426"/>
                  <c:y val="0.014064697609001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00449842555105713"/>
                  <c:y val="0.0093764650726676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'2011 ir 2015'!$B$7:$M$7</c:f>
              <c:strCache>
                <c:ptCount val="11"/>
                <c:pt idx="0">
                  <c:v>Nebaigė pradinės mokyklos</c:v>
                </c:pt>
                <c:pt idx="2">
                  <c:v>Pradinis</c:v>
                </c:pt>
                <c:pt idx="4">
                  <c:v>Pagrindinis</c:v>
                </c:pt>
                <c:pt idx="6">
                  <c:v>Vidurinis</c:v>
                </c:pt>
                <c:pt idx="8">
                  <c:v>Aukštesnysis ir  specialusis vidurinis </c:v>
                </c:pt>
                <c:pt idx="10">
                  <c:v>Aukštasis</c:v>
                </c:pt>
              </c:strCache>
            </c:strRef>
          </c:cat>
          <c:val>
            <c:numRef>
              <c:f>'2011 ir 2015'!$B$8:$L$8</c:f>
              <c:numCache>
                <c:formatCode>General</c:formatCode>
                <c:ptCount val="11"/>
                <c:pt idx="0" formatCode="0%">
                  <c:v>0.24</c:v>
                </c:pt>
                <c:pt idx="2" formatCode="0%">
                  <c:v>0.44</c:v>
                </c:pt>
                <c:pt idx="4" formatCode="0%">
                  <c:v>0.21</c:v>
                </c:pt>
                <c:pt idx="6" formatCode="0%">
                  <c:v>0.1</c:v>
                </c:pt>
                <c:pt idx="10" formatCode="0%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'2011 ir 2015'!$A$9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00224921277552857"/>
                  <c:y val="-0.02344116268166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0449842555105713"/>
                  <c:y val="-0.032817627754336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0224921277552857"/>
                  <c:y val="-0.03416300634455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00224921277552857"/>
                  <c:y val="-0.01406506676116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00224921277552857"/>
                  <c:y val="-0.029282576866764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'2011 ir 2015'!$B$7:$M$7</c:f>
              <c:strCache>
                <c:ptCount val="11"/>
                <c:pt idx="0">
                  <c:v>Nebaigė pradinės mokyklos</c:v>
                </c:pt>
                <c:pt idx="2">
                  <c:v>Pradinis</c:v>
                </c:pt>
                <c:pt idx="4">
                  <c:v>Pagrindinis</c:v>
                </c:pt>
                <c:pt idx="6">
                  <c:v>Vidurinis</c:v>
                </c:pt>
                <c:pt idx="8">
                  <c:v>Aukštesnysis ir  specialusis vidurinis </c:v>
                </c:pt>
                <c:pt idx="10">
                  <c:v>Aukštasis</c:v>
                </c:pt>
              </c:strCache>
            </c:strRef>
          </c:cat>
          <c:val>
            <c:numRef>
              <c:f>'2011 ir 2015'!$B$9:$L$9</c:f>
              <c:numCache>
                <c:formatCode>General</c:formatCode>
                <c:ptCount val="11"/>
                <c:pt idx="0" formatCode="0%">
                  <c:v>0.1</c:v>
                </c:pt>
                <c:pt idx="2" formatCode="0%">
                  <c:v>0.42</c:v>
                </c:pt>
                <c:pt idx="4" formatCode="0%">
                  <c:v>0.29</c:v>
                </c:pt>
                <c:pt idx="6" formatCode="0%">
                  <c:v>0.15</c:v>
                </c:pt>
                <c:pt idx="8" formatCode="0%">
                  <c:v>0.02</c:v>
                </c:pt>
                <c:pt idx="10" formatCode="0%">
                  <c:v>0.02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37433352"/>
        <c:axId val="2139000904"/>
      </c:barChart>
      <c:catAx>
        <c:axId val="2137433352"/>
        <c:scaling>
          <c:orientation val="minMax"/>
        </c:scaling>
        <c:delete val="0"/>
        <c:axPos val="l"/>
        <c:majorTickMark val="out"/>
        <c:minorTickMark val="none"/>
        <c:tickLblPos val="nextTo"/>
        <c:crossAx val="2139000904"/>
        <c:crosses val="autoZero"/>
        <c:auto val="1"/>
        <c:lblAlgn val="ctr"/>
        <c:lblOffset val="100"/>
        <c:noMultiLvlLbl val="0"/>
      </c:catAx>
      <c:valAx>
        <c:axId val="21390009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137433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'2011 ir 2015'!$A$8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.0"/>
                  <c:y val="0.04392386530014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0899685110211426"/>
                  <c:y val="0.014064697609001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00449842555105713"/>
                  <c:y val="0.0093764650726676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'2011 ir 2015'!$B$7:$M$7</c:f>
              <c:strCache>
                <c:ptCount val="11"/>
                <c:pt idx="0">
                  <c:v>Nebaigė pradinės mokyklos</c:v>
                </c:pt>
                <c:pt idx="2">
                  <c:v>Pradinis</c:v>
                </c:pt>
                <c:pt idx="4">
                  <c:v>Pagrindinis</c:v>
                </c:pt>
                <c:pt idx="6">
                  <c:v>Vidurinis</c:v>
                </c:pt>
                <c:pt idx="8">
                  <c:v>Aukštesnysis ir  specialusis vidurinis </c:v>
                </c:pt>
                <c:pt idx="10">
                  <c:v>Aukštasis</c:v>
                </c:pt>
              </c:strCache>
            </c:strRef>
          </c:cat>
          <c:val>
            <c:numRef>
              <c:f>'2011 ir 2015'!$B$8:$L$8</c:f>
              <c:numCache>
                <c:formatCode>General</c:formatCode>
                <c:ptCount val="11"/>
                <c:pt idx="0" formatCode="0%">
                  <c:v>0.24</c:v>
                </c:pt>
                <c:pt idx="2" formatCode="0%">
                  <c:v>0.44</c:v>
                </c:pt>
                <c:pt idx="4" formatCode="0%">
                  <c:v>0.21</c:v>
                </c:pt>
                <c:pt idx="6" formatCode="0%">
                  <c:v>0.1</c:v>
                </c:pt>
                <c:pt idx="10" formatCode="0%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'2011 ir 2015'!$A$9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00224921277552857"/>
                  <c:y val="-0.02344116268166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0449842555105713"/>
                  <c:y val="-0.032817627754336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0224921277552857"/>
                  <c:y val="-0.03416300634455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00224921277552857"/>
                  <c:y val="-0.01406506676116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00224921277552857"/>
                  <c:y val="-0.029282576866764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'2011 ir 2015'!$B$7:$M$7</c:f>
              <c:strCache>
                <c:ptCount val="11"/>
                <c:pt idx="0">
                  <c:v>Nebaigė pradinės mokyklos</c:v>
                </c:pt>
                <c:pt idx="2">
                  <c:v>Pradinis</c:v>
                </c:pt>
                <c:pt idx="4">
                  <c:v>Pagrindinis</c:v>
                </c:pt>
                <c:pt idx="6">
                  <c:v>Vidurinis</c:v>
                </c:pt>
                <c:pt idx="8">
                  <c:v>Aukštesnysis ir  specialusis vidurinis </c:v>
                </c:pt>
                <c:pt idx="10">
                  <c:v>Aukštasis</c:v>
                </c:pt>
              </c:strCache>
            </c:strRef>
          </c:cat>
          <c:val>
            <c:numRef>
              <c:f>'2011 ir 2015'!$B$9:$L$9</c:f>
              <c:numCache>
                <c:formatCode>General</c:formatCode>
                <c:ptCount val="11"/>
                <c:pt idx="0" formatCode="0%">
                  <c:v>0.1</c:v>
                </c:pt>
                <c:pt idx="2" formatCode="0%">
                  <c:v>0.42</c:v>
                </c:pt>
                <c:pt idx="4" formatCode="0%">
                  <c:v>0.29</c:v>
                </c:pt>
                <c:pt idx="6" formatCode="0%">
                  <c:v>0.15</c:v>
                </c:pt>
                <c:pt idx="8" formatCode="0%">
                  <c:v>0.02</c:v>
                </c:pt>
                <c:pt idx="10" formatCode="0%">
                  <c:v>0.02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123950360"/>
        <c:axId val="2131988920"/>
      </c:barChart>
      <c:catAx>
        <c:axId val="-2123950360"/>
        <c:scaling>
          <c:orientation val="minMax"/>
        </c:scaling>
        <c:delete val="0"/>
        <c:axPos val="l"/>
        <c:majorTickMark val="out"/>
        <c:minorTickMark val="none"/>
        <c:tickLblPos val="nextTo"/>
        <c:crossAx val="2131988920"/>
        <c:crosses val="autoZero"/>
        <c:auto val="1"/>
        <c:lblAlgn val="ctr"/>
        <c:lblOffset val="100"/>
        <c:noMultiLvlLbl val="0"/>
      </c:catAx>
      <c:valAx>
        <c:axId val="21319889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-2123950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A641-0768-2641-8AE0-DB3E4B0C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3994</TotalTime>
  <Pages>27</Pages>
  <Words>7255</Words>
  <Characters>41357</Characters>
  <Application>Microsoft Macintosh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Ruta Kaunaite</cp:lastModifiedBy>
  <cp:revision>300</cp:revision>
  <cp:lastPrinted>2015-05-20T07:45:00Z</cp:lastPrinted>
  <dcterms:created xsi:type="dcterms:W3CDTF">2015-06-21T19:39:00Z</dcterms:created>
  <dcterms:modified xsi:type="dcterms:W3CDTF">2015-07-06T21:20:00Z</dcterms:modified>
</cp:coreProperties>
</file>