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790B4" w14:textId="27868927" w:rsidR="00695B8A" w:rsidRPr="00EC247F" w:rsidRDefault="00695B8A" w:rsidP="00876310">
      <w:pPr>
        <w:jc w:val="center"/>
        <w:rPr>
          <w:b/>
          <w:lang w:val="lt-LT"/>
        </w:rPr>
      </w:pPr>
      <w:bookmarkStart w:id="0" w:name="_GoBack"/>
      <w:bookmarkEnd w:id="0"/>
      <w:r w:rsidRPr="00EC247F">
        <w:rPr>
          <w:b/>
          <w:lang w:val="lt-LT"/>
        </w:rPr>
        <w:t xml:space="preserve">LYČIŲ </w:t>
      </w:r>
      <w:r w:rsidRPr="00F21CD0">
        <w:rPr>
          <w:b/>
          <w:lang w:val="lt-LT"/>
        </w:rPr>
        <w:t xml:space="preserve">LYGYBĖS </w:t>
      </w:r>
      <w:r w:rsidR="00E50C2D">
        <w:rPr>
          <w:b/>
          <w:lang w:val="lt-LT"/>
        </w:rPr>
        <w:t>RODIKLIŲ</w:t>
      </w:r>
      <w:r w:rsidR="00B135EA" w:rsidRPr="00EC247F">
        <w:rPr>
          <w:b/>
          <w:lang w:val="lt-LT"/>
        </w:rPr>
        <w:t xml:space="preserve"> </w:t>
      </w:r>
      <w:r w:rsidRPr="00EC247F">
        <w:rPr>
          <w:b/>
          <w:lang w:val="lt-LT"/>
        </w:rPr>
        <w:t>SAVIVALDYBĖSE SĄRAŠAS</w:t>
      </w:r>
    </w:p>
    <w:p w14:paraId="6267185D" w14:textId="77777777" w:rsidR="00282A36" w:rsidRPr="00EC247F" w:rsidRDefault="00282A36" w:rsidP="00876310">
      <w:pPr>
        <w:jc w:val="center"/>
        <w:rPr>
          <w:b/>
          <w:lang w:val="lt-LT"/>
        </w:rPr>
      </w:pPr>
    </w:p>
    <w:p w14:paraId="3C7E9B9A" w14:textId="77777777" w:rsidR="00572443" w:rsidRPr="00EC247F" w:rsidRDefault="00572443" w:rsidP="00876310">
      <w:pPr>
        <w:jc w:val="center"/>
        <w:rPr>
          <w:b/>
          <w:lang w:val="lt-LT"/>
        </w:rPr>
      </w:pPr>
    </w:p>
    <w:p w14:paraId="602437D6" w14:textId="325DC625" w:rsidR="00572443" w:rsidRPr="00EC247F" w:rsidRDefault="00572443" w:rsidP="00876310">
      <w:pPr>
        <w:jc w:val="center"/>
        <w:rPr>
          <w:b/>
          <w:lang w:val="lt-LT"/>
        </w:rPr>
      </w:pPr>
      <w:r w:rsidRPr="00EC247F">
        <w:rPr>
          <w:b/>
          <w:lang w:val="lt-LT"/>
        </w:rPr>
        <w:t>SANTRUMPOS</w:t>
      </w:r>
    </w:p>
    <w:p w14:paraId="52874797" w14:textId="77777777" w:rsidR="00572443" w:rsidRPr="00EC247F" w:rsidRDefault="00572443" w:rsidP="00876310">
      <w:pPr>
        <w:jc w:val="center"/>
        <w:rPr>
          <w:b/>
          <w:lang w:val="lt-LT"/>
        </w:rPr>
      </w:pPr>
    </w:p>
    <w:p w14:paraId="2AD25701" w14:textId="54621C5E" w:rsidR="00572443" w:rsidRPr="00EC247F" w:rsidRDefault="00572443" w:rsidP="00DC08E3">
      <w:pPr>
        <w:rPr>
          <w:lang w:val="lt-LT"/>
        </w:rPr>
      </w:pPr>
      <w:r w:rsidRPr="00EC247F">
        <w:rPr>
          <w:lang w:val="lt-LT"/>
        </w:rPr>
        <w:t>LSD – Lietuvos statistikos departamentas</w:t>
      </w:r>
    </w:p>
    <w:p w14:paraId="687F053A" w14:textId="111BABA1" w:rsidR="00572443" w:rsidRPr="00EC247F" w:rsidRDefault="00DC08E3" w:rsidP="00DC08E3">
      <w:pPr>
        <w:rPr>
          <w:lang w:val="lt-LT"/>
        </w:rPr>
      </w:pPr>
      <w:r w:rsidRPr="00EC247F">
        <w:rPr>
          <w:lang w:val="lt-LT"/>
        </w:rPr>
        <w:t>ŠITC – Švietimo informacinių technologijų centras</w:t>
      </w:r>
    </w:p>
    <w:p w14:paraId="5ECBF5DB" w14:textId="77777777" w:rsidR="00DF5FAB" w:rsidRDefault="00DC08E3" w:rsidP="00DC08E3">
      <w:pPr>
        <w:rPr>
          <w:bCs/>
          <w:lang w:val="lt-LT"/>
        </w:rPr>
      </w:pPr>
      <w:r w:rsidRPr="00EC247F">
        <w:rPr>
          <w:lang w:val="lt-LT"/>
        </w:rPr>
        <w:t>SADM – Lietuvos Respublikos s</w:t>
      </w:r>
      <w:r w:rsidRPr="00EC247F">
        <w:rPr>
          <w:bCs/>
          <w:lang w:val="lt-LT"/>
        </w:rPr>
        <w:t>ocialinės apsaugos ir darbo ministerija</w:t>
      </w:r>
    </w:p>
    <w:p w14:paraId="190ADE15" w14:textId="51B25B6A" w:rsidR="00DC08E3" w:rsidRPr="00EC247F" w:rsidRDefault="00DF5FAB" w:rsidP="00DC08E3">
      <w:pPr>
        <w:rPr>
          <w:rStyle w:val="Hyperlink"/>
          <w:b/>
          <w:bCs/>
          <w:lang w:val="lt-LT"/>
        </w:rPr>
      </w:pPr>
      <w:r>
        <w:rPr>
          <w:bCs/>
          <w:lang w:val="lt-LT"/>
        </w:rPr>
        <w:t xml:space="preserve">SODRA – </w:t>
      </w:r>
      <w:proofErr w:type="spellStart"/>
      <w:r w:rsidRPr="00DF5FAB">
        <w:rPr>
          <w:bCs/>
        </w:rPr>
        <w:t>Valstybinio</w:t>
      </w:r>
      <w:proofErr w:type="spellEnd"/>
      <w:r w:rsidRPr="00DF5FAB">
        <w:rPr>
          <w:bCs/>
        </w:rPr>
        <w:t xml:space="preserve"> </w:t>
      </w:r>
      <w:proofErr w:type="spellStart"/>
      <w:r w:rsidRPr="00DF5FAB">
        <w:rPr>
          <w:bCs/>
        </w:rPr>
        <w:t>socialinio</w:t>
      </w:r>
      <w:proofErr w:type="spellEnd"/>
      <w:r w:rsidRPr="00DF5FAB">
        <w:rPr>
          <w:bCs/>
        </w:rPr>
        <w:t xml:space="preserve"> </w:t>
      </w:r>
      <w:proofErr w:type="spellStart"/>
      <w:r w:rsidRPr="00DF5FAB">
        <w:rPr>
          <w:bCs/>
        </w:rPr>
        <w:t>draudimo</w:t>
      </w:r>
      <w:proofErr w:type="spellEnd"/>
      <w:r w:rsidRPr="00DF5FAB">
        <w:rPr>
          <w:bCs/>
        </w:rPr>
        <w:t xml:space="preserve"> </w:t>
      </w:r>
      <w:proofErr w:type="spellStart"/>
      <w:r w:rsidRPr="00DF5FAB">
        <w:rPr>
          <w:bCs/>
        </w:rPr>
        <w:t>fondo</w:t>
      </w:r>
      <w:proofErr w:type="spellEnd"/>
      <w:r w:rsidRPr="00DF5FAB">
        <w:rPr>
          <w:bCs/>
        </w:rPr>
        <w:t xml:space="preserve"> </w:t>
      </w:r>
      <w:proofErr w:type="spellStart"/>
      <w:r w:rsidRPr="00DF5FAB">
        <w:rPr>
          <w:bCs/>
        </w:rPr>
        <w:t>valdyba</w:t>
      </w:r>
      <w:proofErr w:type="spellEnd"/>
      <w:r w:rsidRPr="00DF5FAB">
        <w:rPr>
          <w:bCs/>
        </w:rPr>
        <w:t xml:space="preserve"> </w:t>
      </w:r>
      <w:proofErr w:type="spellStart"/>
      <w:r w:rsidRPr="00DF5FAB">
        <w:rPr>
          <w:bCs/>
        </w:rPr>
        <w:t>prie</w:t>
      </w:r>
      <w:proofErr w:type="spellEnd"/>
      <w:r w:rsidRPr="00DF5FAB">
        <w:rPr>
          <w:bCs/>
        </w:rPr>
        <w:t xml:space="preserve"> </w:t>
      </w:r>
      <w:proofErr w:type="spellStart"/>
      <w:r w:rsidRPr="00DF5FAB">
        <w:rPr>
          <w:bCs/>
        </w:rPr>
        <w:t>Socialinės</w:t>
      </w:r>
      <w:proofErr w:type="spellEnd"/>
      <w:r w:rsidRPr="00DF5FAB">
        <w:rPr>
          <w:bCs/>
        </w:rPr>
        <w:t xml:space="preserve"> </w:t>
      </w:r>
      <w:proofErr w:type="spellStart"/>
      <w:r w:rsidRPr="00DF5FAB">
        <w:rPr>
          <w:bCs/>
        </w:rPr>
        <w:t>apsaugos</w:t>
      </w:r>
      <w:proofErr w:type="spellEnd"/>
      <w:r w:rsidRPr="00DF5FAB">
        <w:rPr>
          <w:bCs/>
        </w:rPr>
        <w:t xml:space="preserve"> </w:t>
      </w:r>
      <w:proofErr w:type="spellStart"/>
      <w:r w:rsidRPr="00DF5FAB">
        <w:rPr>
          <w:bCs/>
        </w:rPr>
        <w:t>ir</w:t>
      </w:r>
      <w:proofErr w:type="spellEnd"/>
      <w:r w:rsidRPr="00DF5FAB">
        <w:rPr>
          <w:bCs/>
        </w:rPr>
        <w:t xml:space="preserve"> </w:t>
      </w:r>
      <w:proofErr w:type="spellStart"/>
      <w:r w:rsidRPr="00DF5FAB">
        <w:rPr>
          <w:bCs/>
        </w:rPr>
        <w:t>darbo</w:t>
      </w:r>
      <w:proofErr w:type="spellEnd"/>
      <w:r w:rsidRPr="00DF5FAB">
        <w:rPr>
          <w:bCs/>
        </w:rPr>
        <w:t xml:space="preserve"> </w:t>
      </w:r>
      <w:proofErr w:type="spellStart"/>
      <w:r w:rsidRPr="00DF5FAB">
        <w:rPr>
          <w:bCs/>
        </w:rPr>
        <w:t>minis</w:t>
      </w:r>
      <w:r w:rsidRPr="00A4795C">
        <w:rPr>
          <w:bCs/>
        </w:rPr>
        <w:t>terijos</w:t>
      </w:r>
      <w:proofErr w:type="spellEnd"/>
      <w:r w:rsidR="00A4795C" w:rsidRPr="00A4795C">
        <w:rPr>
          <w:bCs/>
          <w:lang w:val="lt-LT"/>
        </w:rPr>
        <w:t xml:space="preserve"> </w:t>
      </w:r>
      <w:r w:rsidR="00DC08E3" w:rsidRPr="00EC247F">
        <w:rPr>
          <w:lang w:val="lt-LT"/>
        </w:rPr>
        <w:fldChar w:fldCharType="begin"/>
      </w:r>
      <w:r w:rsidR="00DC08E3" w:rsidRPr="00EC247F">
        <w:rPr>
          <w:lang w:val="lt-LT"/>
        </w:rPr>
        <w:instrText xml:space="preserve"> HYPERLINK "https://socmin.lrv.lt/lt/" </w:instrText>
      </w:r>
      <w:r w:rsidR="00DC08E3" w:rsidRPr="00EC247F">
        <w:rPr>
          <w:lang w:val="lt-LT"/>
        </w:rPr>
        <w:fldChar w:fldCharType="separate"/>
      </w:r>
    </w:p>
    <w:p w14:paraId="5C5D7263" w14:textId="50539744" w:rsidR="00DC08E3" w:rsidRPr="00EC247F" w:rsidRDefault="00DC08E3" w:rsidP="00DC08E3">
      <w:pPr>
        <w:rPr>
          <w:lang w:val="lt-LT"/>
        </w:rPr>
      </w:pPr>
      <w:r w:rsidRPr="00EC247F">
        <w:rPr>
          <w:lang w:val="lt-LT"/>
        </w:rPr>
        <w:fldChar w:fldCharType="end"/>
      </w:r>
      <w:r w:rsidRPr="00EC247F">
        <w:rPr>
          <w:lang w:val="lt-LT"/>
        </w:rPr>
        <w:t>SPIS – Socialinės paramos šeimai informacinė sistema</w:t>
      </w:r>
    </w:p>
    <w:p w14:paraId="3503278B" w14:textId="2E0D7536" w:rsidR="00DC08E3" w:rsidRPr="00EC247F" w:rsidRDefault="00DC08E3" w:rsidP="00DC08E3">
      <w:pPr>
        <w:rPr>
          <w:lang w:val="lt-LT"/>
        </w:rPr>
      </w:pPr>
      <w:r w:rsidRPr="00EC247F">
        <w:rPr>
          <w:lang w:val="lt-LT"/>
        </w:rPr>
        <w:t>VRK – Lietuvos Respublikos </w:t>
      </w:r>
      <w:r w:rsidRPr="00EC247F">
        <w:rPr>
          <w:bCs/>
          <w:lang w:val="lt-LT"/>
        </w:rPr>
        <w:t>vyriausioji rinkimų komisija</w:t>
      </w:r>
    </w:p>
    <w:p w14:paraId="43363AD1" w14:textId="080D928C" w:rsidR="00DC08E3" w:rsidRPr="00EC247F" w:rsidRDefault="00DC08E3" w:rsidP="00DC08E3">
      <w:pPr>
        <w:rPr>
          <w:lang w:val="lt-LT"/>
        </w:rPr>
      </w:pPr>
      <w:r w:rsidRPr="00EC247F">
        <w:rPr>
          <w:lang w:val="lt-LT"/>
        </w:rPr>
        <w:t xml:space="preserve">HI (SIC) – </w:t>
      </w:r>
      <w:r w:rsidRPr="00EC247F">
        <w:rPr>
          <w:bCs/>
          <w:lang w:val="lt-LT"/>
        </w:rPr>
        <w:t>Higienos instituto Sveikatos informacijos centras</w:t>
      </w:r>
    </w:p>
    <w:p w14:paraId="7EBFB454" w14:textId="2CF245AF" w:rsidR="00DC08E3" w:rsidRDefault="00DC08E3" w:rsidP="00DC08E3">
      <w:pPr>
        <w:rPr>
          <w:lang w:val="lt-LT"/>
        </w:rPr>
      </w:pPr>
      <w:r w:rsidRPr="00EC247F">
        <w:rPr>
          <w:lang w:val="lt-LT"/>
        </w:rPr>
        <w:t>IRD – Informatikos ir ryšių departamentas prie Lietuvos Respublikos vidaus reikalų ministerijos</w:t>
      </w:r>
    </w:p>
    <w:p w14:paraId="1967E7DA" w14:textId="7BFBC470" w:rsidR="00DC08E3" w:rsidRPr="00EC247F" w:rsidRDefault="00DF5FAB" w:rsidP="00DC08E3">
      <w:pPr>
        <w:rPr>
          <w:lang w:val="lt-LT"/>
        </w:rPr>
      </w:pPr>
      <w:r>
        <w:rPr>
          <w:lang w:val="lt-LT"/>
        </w:rPr>
        <w:t xml:space="preserve">VMI – </w:t>
      </w:r>
      <w:proofErr w:type="spellStart"/>
      <w:r w:rsidRPr="00DF5FAB">
        <w:rPr>
          <w:bCs/>
        </w:rPr>
        <w:t>Valstybinė</w:t>
      </w:r>
      <w:proofErr w:type="spellEnd"/>
      <w:r w:rsidRPr="00DF5FAB">
        <w:rPr>
          <w:bCs/>
        </w:rPr>
        <w:t xml:space="preserve"> </w:t>
      </w:r>
      <w:proofErr w:type="spellStart"/>
      <w:r w:rsidRPr="00DF5FAB">
        <w:rPr>
          <w:bCs/>
        </w:rPr>
        <w:t>mokesčių</w:t>
      </w:r>
      <w:proofErr w:type="spellEnd"/>
      <w:r w:rsidRPr="00DF5FAB">
        <w:rPr>
          <w:bCs/>
        </w:rPr>
        <w:t xml:space="preserve"> </w:t>
      </w:r>
      <w:proofErr w:type="spellStart"/>
      <w:r w:rsidRPr="00DF5FAB">
        <w:rPr>
          <w:bCs/>
        </w:rPr>
        <w:t>inspekcija</w:t>
      </w:r>
      <w:proofErr w:type="spellEnd"/>
      <w:r w:rsidRPr="00DF5FAB">
        <w:t> </w:t>
      </w:r>
      <w:proofErr w:type="spellStart"/>
      <w:r w:rsidRPr="00DF5FAB">
        <w:t>prie</w:t>
      </w:r>
      <w:proofErr w:type="spellEnd"/>
      <w:r w:rsidRPr="00DF5FAB">
        <w:t xml:space="preserve"> </w:t>
      </w:r>
      <w:proofErr w:type="spellStart"/>
      <w:r w:rsidRPr="00DF5FAB">
        <w:t>Lietuvos</w:t>
      </w:r>
      <w:proofErr w:type="spellEnd"/>
      <w:r w:rsidRPr="00DF5FAB">
        <w:t xml:space="preserve"> </w:t>
      </w:r>
      <w:proofErr w:type="spellStart"/>
      <w:r w:rsidRPr="00DF5FAB">
        <w:t>Respublikos</w:t>
      </w:r>
      <w:proofErr w:type="spellEnd"/>
      <w:r w:rsidRPr="00DF5FAB">
        <w:t xml:space="preserve"> </w:t>
      </w:r>
      <w:proofErr w:type="spellStart"/>
      <w:r w:rsidRPr="00DF5FAB">
        <w:t>finansų</w:t>
      </w:r>
      <w:proofErr w:type="spellEnd"/>
      <w:r w:rsidRPr="00DF5FAB">
        <w:t xml:space="preserve"> </w:t>
      </w:r>
      <w:proofErr w:type="spellStart"/>
      <w:r w:rsidRPr="00DF5FAB">
        <w:t>ministerijos</w:t>
      </w:r>
      <w:proofErr w:type="spellEnd"/>
    </w:p>
    <w:p w14:paraId="423646C0" w14:textId="77777777" w:rsidR="00DC08E3" w:rsidRPr="00EC247F" w:rsidRDefault="00DC08E3" w:rsidP="00DC08E3">
      <w:pPr>
        <w:rPr>
          <w:lang w:val="lt-LT"/>
        </w:rPr>
      </w:pPr>
    </w:p>
    <w:p w14:paraId="37450233" w14:textId="77777777" w:rsidR="00DC08E3" w:rsidRPr="00EC247F" w:rsidRDefault="00DC08E3" w:rsidP="00DC08E3">
      <w:pPr>
        <w:rPr>
          <w:lang w:val="lt-LT"/>
        </w:rPr>
      </w:pPr>
    </w:p>
    <w:p w14:paraId="0B0DA5B9" w14:textId="704EF5A1" w:rsidR="00F21CD0" w:rsidRDefault="00F21CD0" w:rsidP="00F21CD0">
      <w:pPr>
        <w:jc w:val="center"/>
        <w:rPr>
          <w:b/>
          <w:lang w:val="lt-LT"/>
        </w:rPr>
      </w:pPr>
      <w:r>
        <w:rPr>
          <w:b/>
          <w:lang w:val="lt-LT"/>
        </w:rPr>
        <w:t>SĄVOKOS</w:t>
      </w:r>
    </w:p>
    <w:p w14:paraId="20321601" w14:textId="77777777" w:rsidR="00F21CD0" w:rsidRPr="00F21CD0" w:rsidRDefault="00F21CD0" w:rsidP="00F21CD0">
      <w:pPr>
        <w:jc w:val="center"/>
        <w:rPr>
          <w:b/>
          <w:i/>
          <w:lang w:val="lt-LT"/>
        </w:rPr>
      </w:pPr>
    </w:p>
    <w:p w14:paraId="3C82E939" w14:textId="2EF9259E" w:rsidR="00F21CD0" w:rsidRPr="00F21CD0" w:rsidRDefault="00F21CD0" w:rsidP="00F21CD0">
      <w:pPr>
        <w:rPr>
          <w:lang w:val="lt-LT"/>
        </w:rPr>
      </w:pPr>
      <w:r w:rsidRPr="00F21CD0">
        <w:rPr>
          <w:b/>
          <w:bCs/>
          <w:i/>
          <w:lang w:val="lt-LT"/>
        </w:rPr>
        <w:t>Statistinis rodiklis</w:t>
      </w:r>
      <w:r>
        <w:rPr>
          <w:b/>
          <w:bCs/>
          <w:lang w:val="lt-LT"/>
        </w:rPr>
        <w:t xml:space="preserve"> </w:t>
      </w:r>
      <w:r w:rsidRPr="00F21CD0">
        <w:rPr>
          <w:bCs/>
          <w:lang w:val="lt-LT"/>
        </w:rPr>
        <w:t xml:space="preserve">(angl. </w:t>
      </w:r>
      <w:proofErr w:type="spellStart"/>
      <w:r w:rsidRPr="00F21CD0">
        <w:rPr>
          <w:bCs/>
          <w:i/>
          <w:lang w:val="lt-LT"/>
        </w:rPr>
        <w:t>s</w:t>
      </w:r>
      <w:r>
        <w:rPr>
          <w:bCs/>
          <w:i/>
          <w:lang w:val="lt-LT"/>
        </w:rPr>
        <w:t>tatis</w:t>
      </w:r>
      <w:r w:rsidRPr="00F21CD0">
        <w:rPr>
          <w:bCs/>
          <w:i/>
          <w:lang w:val="lt-LT"/>
        </w:rPr>
        <w:t>tical</w:t>
      </w:r>
      <w:proofErr w:type="spellEnd"/>
      <w:r w:rsidRPr="00F21CD0">
        <w:rPr>
          <w:bCs/>
          <w:i/>
          <w:lang w:val="lt-LT"/>
        </w:rPr>
        <w:t xml:space="preserve"> </w:t>
      </w:r>
      <w:proofErr w:type="spellStart"/>
      <w:r w:rsidRPr="00F21CD0">
        <w:rPr>
          <w:bCs/>
          <w:i/>
          <w:lang w:val="lt-LT"/>
        </w:rPr>
        <w:t>indicator</w:t>
      </w:r>
      <w:proofErr w:type="spellEnd"/>
      <w:r w:rsidRPr="00F21CD0">
        <w:rPr>
          <w:bCs/>
          <w:lang w:val="lt-LT"/>
        </w:rPr>
        <w:t>)</w:t>
      </w:r>
      <w:r>
        <w:rPr>
          <w:b/>
          <w:bCs/>
          <w:lang w:val="lt-LT"/>
        </w:rPr>
        <w:t xml:space="preserve"> </w:t>
      </w:r>
      <w:r w:rsidRPr="00F21CD0">
        <w:rPr>
          <w:lang w:val="lt-LT"/>
        </w:rPr>
        <w:t>– masinio reiškinio savybės ar ypatybės charakteristika konkrečiomis vietos ir laiko sąlygomis, išreikšta skaičiumi</w:t>
      </w:r>
      <w:r>
        <w:rPr>
          <w:rStyle w:val="FootnoteReference"/>
          <w:lang w:val="lt-LT"/>
        </w:rPr>
        <w:footnoteReference w:id="1"/>
      </w:r>
      <w:r w:rsidRPr="00F21CD0">
        <w:rPr>
          <w:lang w:val="lt-LT"/>
        </w:rPr>
        <w:t>.</w:t>
      </w:r>
      <w:r>
        <w:rPr>
          <w:lang w:val="lt-LT"/>
        </w:rPr>
        <w:t xml:space="preserve"> </w:t>
      </w:r>
    </w:p>
    <w:p w14:paraId="053A06C7" w14:textId="448AE472" w:rsidR="00F21CD0" w:rsidRPr="001648AD" w:rsidRDefault="00F21CD0" w:rsidP="00F21CD0">
      <w:pPr>
        <w:rPr>
          <w:b/>
          <w:lang w:val="lt-LT"/>
        </w:rPr>
      </w:pPr>
      <w:r w:rsidRPr="00F21CD0">
        <w:rPr>
          <w:b/>
          <w:i/>
          <w:lang w:val="lt-LT"/>
        </w:rPr>
        <w:t>Pilkoji zona</w:t>
      </w:r>
      <w:r w:rsidR="001648AD">
        <w:rPr>
          <w:b/>
          <w:i/>
          <w:lang w:val="lt-LT"/>
        </w:rPr>
        <w:t xml:space="preserve"> </w:t>
      </w:r>
      <w:r w:rsidR="001648AD" w:rsidRPr="001648AD">
        <w:rPr>
          <w:lang w:val="lt-LT"/>
        </w:rPr>
        <w:t xml:space="preserve">(angl. </w:t>
      </w:r>
      <w:proofErr w:type="spellStart"/>
      <w:r w:rsidR="001648AD" w:rsidRPr="001648AD">
        <w:rPr>
          <w:i/>
          <w:lang w:val="lt-LT"/>
        </w:rPr>
        <w:t>grey</w:t>
      </w:r>
      <w:proofErr w:type="spellEnd"/>
      <w:r w:rsidR="001648AD" w:rsidRPr="001648AD">
        <w:rPr>
          <w:i/>
          <w:lang w:val="lt-LT"/>
        </w:rPr>
        <w:t xml:space="preserve"> </w:t>
      </w:r>
      <w:proofErr w:type="spellStart"/>
      <w:r w:rsidR="001648AD" w:rsidRPr="001648AD">
        <w:rPr>
          <w:i/>
          <w:lang w:val="lt-LT"/>
        </w:rPr>
        <w:t>zone</w:t>
      </w:r>
      <w:proofErr w:type="spellEnd"/>
      <w:r w:rsidR="00812C48">
        <w:rPr>
          <w:i/>
          <w:lang w:val="lt-LT"/>
        </w:rPr>
        <w:t>/</w:t>
      </w:r>
      <w:r w:rsidR="001648AD">
        <w:rPr>
          <w:i/>
          <w:lang w:val="lt-LT"/>
        </w:rPr>
        <w:t xml:space="preserve"> </w:t>
      </w:r>
      <w:proofErr w:type="spellStart"/>
      <w:r w:rsidR="001648AD">
        <w:rPr>
          <w:i/>
          <w:lang w:val="lt-LT"/>
        </w:rPr>
        <w:t>grey</w:t>
      </w:r>
      <w:proofErr w:type="spellEnd"/>
      <w:r w:rsidR="001648AD">
        <w:rPr>
          <w:i/>
          <w:lang w:val="lt-LT"/>
        </w:rPr>
        <w:t xml:space="preserve"> </w:t>
      </w:r>
      <w:proofErr w:type="spellStart"/>
      <w:r w:rsidR="001648AD">
        <w:rPr>
          <w:i/>
          <w:lang w:val="lt-LT"/>
        </w:rPr>
        <w:t>area</w:t>
      </w:r>
      <w:proofErr w:type="spellEnd"/>
      <w:r w:rsidR="001648AD" w:rsidRPr="001648AD">
        <w:rPr>
          <w:lang w:val="lt-LT"/>
        </w:rPr>
        <w:t xml:space="preserve">) </w:t>
      </w:r>
      <w:r w:rsidR="001648AD">
        <w:rPr>
          <w:b/>
          <w:lang w:val="lt-LT"/>
        </w:rPr>
        <w:t xml:space="preserve">– </w:t>
      </w:r>
      <w:r w:rsidR="001648AD" w:rsidRPr="001648AD">
        <w:rPr>
          <w:lang w:val="lt-LT"/>
        </w:rPr>
        <w:t>sritys,</w:t>
      </w:r>
      <w:r w:rsidR="001648AD">
        <w:rPr>
          <w:lang w:val="lt-LT"/>
        </w:rPr>
        <w:t xml:space="preserve"> rodikliai, kurių šiuo metu nėra galimybės apskaičiuoti dėl duomenų trūkumo ar esamų duomenų ribotumo.</w:t>
      </w:r>
    </w:p>
    <w:p w14:paraId="7F0944B7" w14:textId="77777777" w:rsidR="00DC08E3" w:rsidRPr="00EC247F" w:rsidRDefault="00DC08E3" w:rsidP="00DC08E3">
      <w:pPr>
        <w:rPr>
          <w:lang w:val="lt-LT"/>
        </w:rPr>
      </w:pPr>
    </w:p>
    <w:p w14:paraId="06F629DD" w14:textId="77777777" w:rsidR="00DC08E3" w:rsidRPr="00EC247F" w:rsidRDefault="00DC08E3" w:rsidP="00DC08E3">
      <w:pPr>
        <w:rPr>
          <w:lang w:val="lt-LT"/>
        </w:rPr>
      </w:pPr>
    </w:p>
    <w:p w14:paraId="209E2366" w14:textId="77777777" w:rsidR="00DC08E3" w:rsidRPr="00EC247F" w:rsidRDefault="00DC08E3" w:rsidP="00DC08E3">
      <w:pPr>
        <w:rPr>
          <w:lang w:val="lt-LT"/>
        </w:rPr>
      </w:pPr>
    </w:p>
    <w:p w14:paraId="6DC0D34C" w14:textId="77777777" w:rsidR="00DC08E3" w:rsidRPr="00EC247F" w:rsidRDefault="00DC08E3" w:rsidP="00DC08E3">
      <w:pPr>
        <w:rPr>
          <w:lang w:val="lt-LT"/>
        </w:rPr>
      </w:pPr>
    </w:p>
    <w:p w14:paraId="1977033F" w14:textId="77777777" w:rsidR="00DC08E3" w:rsidRPr="00EC247F" w:rsidRDefault="00DC08E3" w:rsidP="00DC08E3">
      <w:pPr>
        <w:rPr>
          <w:lang w:val="lt-LT"/>
        </w:rPr>
      </w:pPr>
    </w:p>
    <w:p w14:paraId="05C44C73" w14:textId="77777777" w:rsidR="00DC08E3" w:rsidRPr="00EC247F" w:rsidRDefault="00DC08E3" w:rsidP="00DC08E3">
      <w:pPr>
        <w:rPr>
          <w:lang w:val="lt-LT"/>
        </w:rPr>
      </w:pPr>
    </w:p>
    <w:p w14:paraId="56B592F8" w14:textId="77777777" w:rsidR="00DC08E3" w:rsidRPr="00EC247F" w:rsidRDefault="00DC08E3" w:rsidP="00DC08E3">
      <w:pPr>
        <w:rPr>
          <w:lang w:val="lt-LT"/>
        </w:rPr>
      </w:pPr>
    </w:p>
    <w:p w14:paraId="0ED420F8" w14:textId="77777777" w:rsidR="00DC08E3" w:rsidRPr="00EC247F" w:rsidRDefault="00DC08E3" w:rsidP="00DC08E3">
      <w:pPr>
        <w:rPr>
          <w:lang w:val="lt-LT"/>
        </w:rPr>
      </w:pPr>
    </w:p>
    <w:p w14:paraId="7B017AA5" w14:textId="77777777" w:rsidR="00DC08E3" w:rsidRPr="00EC247F" w:rsidRDefault="00DC08E3" w:rsidP="00DC08E3">
      <w:pPr>
        <w:rPr>
          <w:lang w:val="lt-LT"/>
        </w:rPr>
      </w:pPr>
    </w:p>
    <w:p w14:paraId="02CB00C2" w14:textId="77777777" w:rsidR="00DC08E3" w:rsidRPr="00EC247F" w:rsidRDefault="00DC08E3" w:rsidP="00DC08E3">
      <w:pPr>
        <w:rPr>
          <w:lang w:val="lt-LT"/>
        </w:rPr>
      </w:pPr>
    </w:p>
    <w:p w14:paraId="40E8CCD9" w14:textId="77777777" w:rsidR="00DC08E3" w:rsidRPr="00EC247F" w:rsidRDefault="00DC08E3" w:rsidP="00DC08E3">
      <w:pPr>
        <w:rPr>
          <w:lang w:val="lt-LT"/>
        </w:rPr>
      </w:pPr>
    </w:p>
    <w:p w14:paraId="3E07676B" w14:textId="77777777" w:rsidR="00DC08E3" w:rsidRPr="00EC247F" w:rsidRDefault="00DC08E3" w:rsidP="00DC08E3">
      <w:pPr>
        <w:rPr>
          <w:lang w:val="lt-LT"/>
        </w:rPr>
      </w:pPr>
    </w:p>
    <w:p w14:paraId="3D174265" w14:textId="77777777" w:rsidR="00DC08E3" w:rsidRPr="00EC247F" w:rsidRDefault="00DC08E3" w:rsidP="00DC08E3">
      <w:pPr>
        <w:rPr>
          <w:lang w:val="lt-LT"/>
        </w:rPr>
      </w:pPr>
    </w:p>
    <w:p w14:paraId="405B0451" w14:textId="77777777" w:rsidR="00DC08E3" w:rsidRPr="00EC247F" w:rsidRDefault="00DC08E3" w:rsidP="00DC08E3">
      <w:pPr>
        <w:rPr>
          <w:lang w:val="lt-LT"/>
        </w:rPr>
      </w:pPr>
    </w:p>
    <w:p w14:paraId="21A22705" w14:textId="77777777" w:rsidR="00DC08E3" w:rsidRPr="00EC247F" w:rsidRDefault="00DC08E3" w:rsidP="00DC08E3">
      <w:pPr>
        <w:rPr>
          <w:lang w:val="lt-LT"/>
        </w:rPr>
      </w:pPr>
    </w:p>
    <w:p w14:paraId="195503C0" w14:textId="77777777" w:rsidR="00DC08E3" w:rsidRPr="00EC247F" w:rsidRDefault="00DC08E3" w:rsidP="00876310">
      <w:pPr>
        <w:jc w:val="center"/>
        <w:rPr>
          <w:b/>
          <w:color w:val="FF0000"/>
          <w:lang w:val="lt-LT"/>
        </w:rPr>
        <w:sectPr w:rsidR="00DC08E3" w:rsidRPr="00EC247F" w:rsidSect="00DC08E3">
          <w:footerReference w:type="default" r:id="rId8"/>
          <w:pgSz w:w="11906" w:h="16838"/>
          <w:pgMar w:top="720" w:right="994" w:bottom="576" w:left="864" w:header="562" w:footer="562" w:gutter="0"/>
          <w:cols w:space="1296"/>
          <w:docGrid w:linePitch="360"/>
        </w:sectPr>
      </w:pPr>
    </w:p>
    <w:tbl>
      <w:tblPr>
        <w:tblStyle w:val="TableGrid"/>
        <w:tblW w:w="15745" w:type="dxa"/>
        <w:jc w:val="center"/>
        <w:tblLayout w:type="fixed"/>
        <w:tblCellMar>
          <w:left w:w="115" w:type="dxa"/>
          <w:right w:w="115" w:type="dxa"/>
        </w:tblCellMar>
        <w:tblLook w:val="04A0" w:firstRow="1" w:lastRow="0" w:firstColumn="1" w:lastColumn="0" w:noHBand="0" w:noVBand="1"/>
      </w:tblPr>
      <w:tblGrid>
        <w:gridCol w:w="570"/>
        <w:gridCol w:w="3115"/>
        <w:gridCol w:w="2340"/>
        <w:gridCol w:w="1727"/>
        <w:gridCol w:w="13"/>
        <w:gridCol w:w="1230"/>
        <w:gridCol w:w="6750"/>
      </w:tblGrid>
      <w:tr w:rsidR="00C21ADE" w:rsidRPr="00EC247F" w14:paraId="49ACE915" w14:textId="77777777" w:rsidTr="00AD1B26">
        <w:trPr>
          <w:jc w:val="center"/>
        </w:trPr>
        <w:tc>
          <w:tcPr>
            <w:tcW w:w="570" w:type="dxa"/>
            <w:vAlign w:val="center"/>
          </w:tcPr>
          <w:p w14:paraId="64C54988" w14:textId="77777777" w:rsidR="00C21ADE" w:rsidRPr="00EC247F" w:rsidRDefault="002D6625" w:rsidP="002D6625">
            <w:pPr>
              <w:rPr>
                <w:b/>
                <w:lang w:val="lt-LT"/>
              </w:rPr>
            </w:pPr>
            <w:r w:rsidRPr="00EC247F">
              <w:rPr>
                <w:b/>
                <w:lang w:val="lt-LT"/>
              </w:rPr>
              <w:lastRenderedPageBreak/>
              <w:t>Nr.</w:t>
            </w:r>
          </w:p>
        </w:tc>
        <w:tc>
          <w:tcPr>
            <w:tcW w:w="3115" w:type="dxa"/>
            <w:vAlign w:val="center"/>
          </w:tcPr>
          <w:p w14:paraId="7FA2C7CF" w14:textId="4B368502" w:rsidR="00C21ADE" w:rsidRPr="00EC247F" w:rsidRDefault="0092074E" w:rsidP="0092074E">
            <w:pPr>
              <w:jc w:val="center"/>
              <w:rPr>
                <w:b/>
                <w:lang w:val="lt-LT"/>
              </w:rPr>
            </w:pPr>
            <w:r>
              <w:rPr>
                <w:b/>
                <w:lang w:val="lt-LT"/>
              </w:rPr>
              <w:t xml:space="preserve">Rodiklio sritis / </w:t>
            </w:r>
            <w:r w:rsidR="00C21ADE" w:rsidRPr="00EC247F">
              <w:rPr>
                <w:b/>
                <w:lang w:val="lt-LT"/>
              </w:rPr>
              <w:t>pavadinimas</w:t>
            </w:r>
          </w:p>
        </w:tc>
        <w:tc>
          <w:tcPr>
            <w:tcW w:w="2340" w:type="dxa"/>
            <w:vAlign w:val="center"/>
          </w:tcPr>
          <w:p w14:paraId="22D85580" w14:textId="77777777" w:rsidR="00C21ADE" w:rsidRPr="00EC247F" w:rsidRDefault="00C21ADE" w:rsidP="00DD0B81">
            <w:pPr>
              <w:jc w:val="center"/>
              <w:rPr>
                <w:b/>
                <w:lang w:val="lt-LT"/>
              </w:rPr>
            </w:pPr>
            <w:r w:rsidRPr="00EC247F">
              <w:rPr>
                <w:b/>
                <w:lang w:val="lt-LT"/>
              </w:rPr>
              <w:t>Dimensijos</w:t>
            </w:r>
          </w:p>
        </w:tc>
        <w:tc>
          <w:tcPr>
            <w:tcW w:w="1727" w:type="dxa"/>
            <w:vAlign w:val="center"/>
          </w:tcPr>
          <w:p w14:paraId="6054C85E" w14:textId="60342B42" w:rsidR="00C21ADE" w:rsidRPr="00EC247F" w:rsidRDefault="00C21ADE" w:rsidP="00DD0B81">
            <w:pPr>
              <w:jc w:val="center"/>
              <w:rPr>
                <w:b/>
                <w:lang w:val="lt-LT"/>
              </w:rPr>
            </w:pPr>
            <w:r w:rsidRPr="00EC247F">
              <w:rPr>
                <w:b/>
                <w:lang w:val="lt-LT"/>
              </w:rPr>
              <w:t>Dinamika</w:t>
            </w:r>
            <w:r w:rsidR="00E1162B">
              <w:rPr>
                <w:b/>
                <w:lang w:val="lt-LT"/>
              </w:rPr>
              <w:t>/ Būsena</w:t>
            </w:r>
            <w:r w:rsidRPr="00EC247F" w:rsidDel="00A33119">
              <w:rPr>
                <w:b/>
                <w:lang w:val="lt-LT"/>
              </w:rPr>
              <w:t xml:space="preserve"> </w:t>
            </w:r>
          </w:p>
        </w:tc>
        <w:tc>
          <w:tcPr>
            <w:tcW w:w="1243" w:type="dxa"/>
            <w:gridSpan w:val="2"/>
            <w:vAlign w:val="center"/>
          </w:tcPr>
          <w:p w14:paraId="2F97B92F" w14:textId="77777777" w:rsidR="00C21ADE" w:rsidRPr="00EC247F" w:rsidRDefault="00C21ADE" w:rsidP="00041BE9">
            <w:pPr>
              <w:jc w:val="center"/>
              <w:rPr>
                <w:b/>
                <w:lang w:val="lt-LT"/>
              </w:rPr>
            </w:pPr>
            <w:r w:rsidRPr="00EC247F">
              <w:rPr>
                <w:b/>
                <w:lang w:val="lt-LT"/>
              </w:rPr>
              <w:t>Rengėjas/ Šaltinis</w:t>
            </w:r>
          </w:p>
        </w:tc>
        <w:tc>
          <w:tcPr>
            <w:tcW w:w="6750" w:type="dxa"/>
            <w:vAlign w:val="center"/>
          </w:tcPr>
          <w:p w14:paraId="6AA7FD4A" w14:textId="77777777" w:rsidR="00C21ADE" w:rsidRPr="00EC247F" w:rsidRDefault="00C21ADE" w:rsidP="00DD0B81">
            <w:pPr>
              <w:jc w:val="center"/>
              <w:rPr>
                <w:b/>
                <w:lang w:val="lt-LT"/>
              </w:rPr>
            </w:pPr>
            <w:r w:rsidRPr="00EC247F">
              <w:rPr>
                <w:b/>
                <w:lang w:val="lt-LT"/>
              </w:rPr>
              <w:t>Aprašas</w:t>
            </w:r>
          </w:p>
        </w:tc>
      </w:tr>
      <w:tr w:rsidR="00A974AE" w:rsidRPr="00EC247F" w14:paraId="27B2DFB7" w14:textId="77777777" w:rsidTr="00AD1B26">
        <w:trPr>
          <w:jc w:val="center"/>
        </w:trPr>
        <w:tc>
          <w:tcPr>
            <w:tcW w:w="15745" w:type="dxa"/>
            <w:gridSpan w:val="7"/>
          </w:tcPr>
          <w:p w14:paraId="0976A55F" w14:textId="77777777" w:rsidR="00A974AE" w:rsidRPr="00EC247F" w:rsidRDefault="00A974AE" w:rsidP="00695B8A">
            <w:pPr>
              <w:jc w:val="center"/>
              <w:rPr>
                <w:b/>
                <w:lang w:val="lt-LT"/>
              </w:rPr>
            </w:pPr>
            <w:r w:rsidRPr="00EC247F">
              <w:rPr>
                <w:b/>
                <w:lang w:val="lt-LT"/>
              </w:rPr>
              <w:t>Demografija</w:t>
            </w:r>
          </w:p>
        </w:tc>
      </w:tr>
      <w:tr w:rsidR="00C21ADE" w:rsidRPr="00485D1C" w14:paraId="21DB720D" w14:textId="77777777" w:rsidTr="00AD1B26">
        <w:trPr>
          <w:jc w:val="center"/>
        </w:trPr>
        <w:tc>
          <w:tcPr>
            <w:tcW w:w="570" w:type="dxa"/>
            <w:tcBorders>
              <w:bottom w:val="single" w:sz="4" w:space="0" w:color="auto"/>
            </w:tcBorders>
            <w:shd w:val="clear" w:color="auto" w:fill="auto"/>
          </w:tcPr>
          <w:p w14:paraId="143D3DC9" w14:textId="77777777" w:rsidR="00C21ADE" w:rsidRPr="00EC247F" w:rsidRDefault="00C21ADE" w:rsidP="00695B8A">
            <w:pPr>
              <w:rPr>
                <w:lang w:val="lt-LT"/>
              </w:rPr>
            </w:pPr>
            <w:r w:rsidRPr="00EC247F">
              <w:rPr>
                <w:lang w:val="lt-LT"/>
              </w:rPr>
              <w:t>1.</w:t>
            </w:r>
          </w:p>
        </w:tc>
        <w:tc>
          <w:tcPr>
            <w:tcW w:w="3115" w:type="dxa"/>
            <w:tcBorders>
              <w:bottom w:val="single" w:sz="4" w:space="0" w:color="auto"/>
            </w:tcBorders>
            <w:shd w:val="clear" w:color="auto" w:fill="auto"/>
          </w:tcPr>
          <w:p w14:paraId="0C77F461" w14:textId="77777777" w:rsidR="00C21ADE" w:rsidRPr="00EC247F" w:rsidRDefault="00C21ADE" w:rsidP="00695B8A">
            <w:pPr>
              <w:rPr>
                <w:lang w:val="lt-LT"/>
              </w:rPr>
            </w:pPr>
            <w:r w:rsidRPr="00EC247F">
              <w:rPr>
                <w:lang w:val="lt-LT"/>
              </w:rPr>
              <w:t>Gyventojų skaičius metų pradžioje</w:t>
            </w:r>
          </w:p>
        </w:tc>
        <w:tc>
          <w:tcPr>
            <w:tcW w:w="2340" w:type="dxa"/>
          </w:tcPr>
          <w:p w14:paraId="70E6F518" w14:textId="77777777" w:rsidR="00C21ADE" w:rsidRPr="00EC247F" w:rsidRDefault="00C21ADE" w:rsidP="00695B8A">
            <w:pPr>
              <w:rPr>
                <w:lang w:val="lt-LT"/>
              </w:rPr>
            </w:pPr>
            <w:r w:rsidRPr="00EC247F">
              <w:rPr>
                <w:lang w:val="lt-LT"/>
              </w:rPr>
              <w:t>Lytis</w:t>
            </w:r>
          </w:p>
          <w:p w14:paraId="67557AF9" w14:textId="77777777" w:rsidR="00C21ADE" w:rsidRPr="00EC247F" w:rsidRDefault="00C21ADE" w:rsidP="00695B8A">
            <w:pPr>
              <w:rPr>
                <w:lang w:val="lt-LT"/>
              </w:rPr>
            </w:pPr>
            <w:r w:rsidRPr="00EC247F">
              <w:rPr>
                <w:lang w:val="lt-LT"/>
              </w:rPr>
              <w:t>Savivaldybės</w:t>
            </w:r>
          </w:p>
          <w:p w14:paraId="555B99F7" w14:textId="77777777" w:rsidR="00C21ADE" w:rsidRPr="00EC247F" w:rsidRDefault="00C21ADE" w:rsidP="00695B8A">
            <w:pPr>
              <w:rPr>
                <w:lang w:val="lt-LT"/>
              </w:rPr>
            </w:pPr>
            <w:r w:rsidRPr="00EC247F">
              <w:rPr>
                <w:lang w:val="lt-LT"/>
              </w:rPr>
              <w:t>Amžiaus grupės (0–1</w:t>
            </w:r>
            <w:r w:rsidR="009D02A5" w:rsidRPr="00EC247F">
              <w:rPr>
                <w:lang w:val="lt-LT"/>
              </w:rPr>
              <w:t>4</w:t>
            </w:r>
            <w:r w:rsidRPr="00EC247F">
              <w:rPr>
                <w:lang w:val="lt-LT"/>
              </w:rPr>
              <w:t>; 15–6</w:t>
            </w:r>
            <w:r w:rsidR="009D02A5" w:rsidRPr="00EC247F">
              <w:rPr>
                <w:lang w:val="lt-LT"/>
              </w:rPr>
              <w:t>4</w:t>
            </w:r>
            <w:r w:rsidRPr="00EC247F">
              <w:rPr>
                <w:lang w:val="lt-LT"/>
              </w:rPr>
              <w:t>; 65 ir vyresni)</w:t>
            </w:r>
          </w:p>
        </w:tc>
        <w:tc>
          <w:tcPr>
            <w:tcW w:w="1727" w:type="dxa"/>
          </w:tcPr>
          <w:p w14:paraId="362E8E12" w14:textId="2F8DA4E9" w:rsidR="00C21ADE" w:rsidRPr="00EC247F" w:rsidRDefault="00812C48" w:rsidP="00041BE9">
            <w:pPr>
              <w:rPr>
                <w:lang w:val="lt-LT"/>
              </w:rPr>
            </w:pPr>
            <w:r>
              <w:rPr>
                <w:lang w:val="lt-LT"/>
              </w:rPr>
              <w:t>Skelbiama</w:t>
            </w:r>
            <w:r w:rsidR="00E50C2D">
              <w:rPr>
                <w:rStyle w:val="FootnoteReference"/>
                <w:lang w:val="lt-LT"/>
              </w:rPr>
              <w:footnoteReference w:id="2"/>
            </w:r>
          </w:p>
        </w:tc>
        <w:tc>
          <w:tcPr>
            <w:tcW w:w="1243" w:type="dxa"/>
            <w:gridSpan w:val="2"/>
          </w:tcPr>
          <w:p w14:paraId="330D0D40" w14:textId="77777777" w:rsidR="00C21ADE" w:rsidRPr="00EC247F" w:rsidRDefault="00C21ADE" w:rsidP="00695B8A">
            <w:pPr>
              <w:rPr>
                <w:lang w:val="lt-LT"/>
              </w:rPr>
            </w:pPr>
            <w:r w:rsidRPr="00EC247F">
              <w:rPr>
                <w:lang w:val="lt-LT"/>
              </w:rPr>
              <w:t>LSD</w:t>
            </w:r>
          </w:p>
        </w:tc>
        <w:tc>
          <w:tcPr>
            <w:tcW w:w="6750" w:type="dxa"/>
          </w:tcPr>
          <w:p w14:paraId="16C21962" w14:textId="77777777" w:rsidR="00C21ADE" w:rsidRPr="00EC247F" w:rsidRDefault="00C21ADE" w:rsidP="00B23C76">
            <w:pPr>
              <w:rPr>
                <w:lang w:val="lt-LT"/>
              </w:rPr>
            </w:pPr>
            <w:r w:rsidRPr="00EC247F">
              <w:rPr>
                <w:lang w:val="lt-LT"/>
              </w:rPr>
              <w:t xml:space="preserve">Demografinė visuomenės padėtis ir kaita yra iškalbingas gyvenimo kokybės rodiklis, kuris atspindi ir nelygybės tendencijas visuomenėje. </w:t>
            </w:r>
          </w:p>
          <w:p w14:paraId="2F5482DE" w14:textId="77777777" w:rsidR="00C21ADE" w:rsidRPr="00EC247F" w:rsidRDefault="00C21ADE" w:rsidP="00B23C76">
            <w:pPr>
              <w:rPr>
                <w:lang w:val="lt-LT"/>
              </w:rPr>
            </w:pPr>
          </w:p>
          <w:p w14:paraId="25471CEF" w14:textId="38380555" w:rsidR="00837A97" w:rsidRPr="00EC247F" w:rsidRDefault="002E52B0" w:rsidP="002E52B0">
            <w:pPr>
              <w:rPr>
                <w:bCs/>
                <w:lang w:val="lt-LT"/>
              </w:rPr>
            </w:pPr>
            <w:r w:rsidRPr="00EC247F">
              <w:rPr>
                <w:bCs/>
                <w:lang w:val="lt-LT"/>
              </w:rPr>
              <w:t xml:space="preserve">Nuolatinių gyventojų skaičius </w:t>
            </w:r>
            <w:r w:rsidRPr="00EC247F">
              <w:rPr>
                <w:bCs/>
                <w:iCs/>
                <w:lang w:val="lt-LT"/>
              </w:rPr>
              <w:t>atitinkamų</w:t>
            </w:r>
            <w:r w:rsidRPr="00EC247F">
              <w:rPr>
                <w:bCs/>
                <w:lang w:val="lt-LT"/>
              </w:rPr>
              <w:t xml:space="preserve"> metų pradžioje apskaičiuojamas prie nuolatinių gyventojų skaičiaus </w:t>
            </w:r>
            <w:r w:rsidRPr="00EC247F">
              <w:rPr>
                <w:bCs/>
                <w:iCs/>
                <w:lang w:val="lt-LT"/>
              </w:rPr>
              <w:t xml:space="preserve">ankstesnių </w:t>
            </w:r>
            <w:r w:rsidRPr="00EC247F">
              <w:rPr>
                <w:bCs/>
                <w:lang w:val="lt-LT"/>
              </w:rPr>
              <w:t>metų pradžioje pridėjus per kalendorinius metus gyvų gimusių kūdikių, atvykusių ir imigravusių asmenų skaičių ir atėmus per tą patį periodą mirusių, išvykusių ir emigravusių asmenų skaičių</w:t>
            </w:r>
            <w:r w:rsidR="00B21481" w:rsidRPr="00EC247F">
              <w:rPr>
                <w:rStyle w:val="FootnoteReference"/>
                <w:lang w:val="lt-LT"/>
              </w:rPr>
              <w:footnoteReference w:id="3"/>
            </w:r>
            <w:r w:rsidR="00837A97" w:rsidRPr="00EC247F">
              <w:rPr>
                <w:bCs/>
                <w:lang w:val="lt-LT"/>
              </w:rPr>
              <w:t>. Tai</w:t>
            </w:r>
            <w:r w:rsidR="00837A97" w:rsidRPr="00EC247F">
              <w:rPr>
                <w:lang w:val="lt-LT"/>
              </w:rPr>
              <w:t xml:space="preserve"> yra išvestinis demografinių procesų (gimstamumo, mirtingumo, migracijos) rodiklis</w:t>
            </w:r>
            <w:r w:rsidR="00837A97" w:rsidRPr="00EC247F">
              <w:rPr>
                <w:rStyle w:val="FootnoteReference"/>
                <w:lang w:val="lt-LT"/>
              </w:rPr>
              <w:footnoteReference w:id="4"/>
            </w:r>
            <w:r w:rsidR="00837A97" w:rsidRPr="00EC247F">
              <w:rPr>
                <w:lang w:val="lt-LT"/>
              </w:rPr>
              <w:t xml:space="preserve">. </w:t>
            </w:r>
          </w:p>
          <w:p w14:paraId="342DC68E" w14:textId="77777777" w:rsidR="00837A97" w:rsidRPr="00EC247F" w:rsidRDefault="00837A97" w:rsidP="002E52B0">
            <w:pPr>
              <w:rPr>
                <w:bCs/>
                <w:lang w:val="lt-LT"/>
              </w:rPr>
            </w:pPr>
          </w:p>
          <w:p w14:paraId="4440D8A2" w14:textId="77777777" w:rsidR="00141234" w:rsidRPr="00702435" w:rsidRDefault="00141234" w:rsidP="006A2F9A">
            <w:pPr>
              <w:rPr>
                <w:i/>
                <w:lang w:val="lt-LT"/>
              </w:rPr>
            </w:pPr>
            <w:r w:rsidRPr="00702435">
              <w:rPr>
                <w:b/>
                <w:i/>
                <w:lang w:val="lt-LT"/>
              </w:rPr>
              <w:t>Nuolatiniai gyventojai</w:t>
            </w:r>
            <w:r w:rsidRPr="00702435">
              <w:rPr>
                <w:i/>
                <w:lang w:val="lt-LT"/>
              </w:rPr>
              <w:t xml:space="preserve"> – visi asmenys, kurių nuolatinė gyvenamoji vieta ataskaitiniu laikotarpiu yra Lietuvos Respublikoje</w:t>
            </w:r>
            <w:r w:rsidRPr="00702435">
              <w:rPr>
                <w:rStyle w:val="FootnoteReference"/>
                <w:i/>
                <w:lang w:val="lt-LT"/>
              </w:rPr>
              <w:footnoteReference w:id="5"/>
            </w:r>
            <w:r w:rsidR="00487B5F" w:rsidRPr="00702435">
              <w:rPr>
                <w:i/>
                <w:lang w:val="lt-LT"/>
              </w:rPr>
              <w:t>.</w:t>
            </w:r>
          </w:p>
          <w:p w14:paraId="06C39C11" w14:textId="77777777" w:rsidR="00B21481" w:rsidRPr="00702435" w:rsidRDefault="00B21481" w:rsidP="006A2F9A">
            <w:pPr>
              <w:rPr>
                <w:i/>
                <w:lang w:val="lt-LT"/>
              </w:rPr>
            </w:pPr>
          </w:p>
          <w:p w14:paraId="67938829" w14:textId="6E3519AC" w:rsidR="00B21481" w:rsidRPr="00EC247F" w:rsidRDefault="00B21481" w:rsidP="00837A97">
            <w:pPr>
              <w:rPr>
                <w:lang w:val="lt-LT"/>
              </w:rPr>
            </w:pPr>
            <w:r w:rsidRPr="00702435">
              <w:rPr>
                <w:b/>
                <w:i/>
                <w:lang w:val="lt-LT"/>
              </w:rPr>
              <w:t>Nuolatinė gyvenamoji vieta</w:t>
            </w:r>
            <w:r w:rsidRPr="00702435">
              <w:rPr>
                <w:i/>
                <w:lang w:val="lt-LT"/>
              </w:rPr>
              <w:t xml:space="preserve"> – vieta, kurioje asmuo paprastai praleidžia poilsiui skirtą paros dalį, nepaisant laikinųjų nebuvimų išvykstant poilsiauti, atostogauti, aplankyti draugus ir gimines, verslo reikalais, gydytis arba keliaujant religijos tikslais į šventąsias vietas. Nuolatiniais gyventojais yra laikomi tik asmenys, kurie: 1) iki ataskaitinės datos savo nuolatinėje gyvenamojoje vietoje nenutrūkstamai gyveno mažiausiai 12 mėn., arba 2) per paskutinius 12 mėnesių iki ataskaitinės datos atvyko į savo nuolatinę gyvenamąją vietą ketindami joje pasilikti mažiausiai vienus metus</w:t>
            </w:r>
            <w:r w:rsidRPr="00EC247F">
              <w:rPr>
                <w:rStyle w:val="FootnoteReference"/>
                <w:lang w:val="lt-LT"/>
              </w:rPr>
              <w:footnoteReference w:id="6"/>
            </w:r>
            <w:r w:rsidR="00837A97" w:rsidRPr="00EC247F">
              <w:rPr>
                <w:lang w:val="lt-LT"/>
              </w:rPr>
              <w:t>.</w:t>
            </w:r>
          </w:p>
        </w:tc>
      </w:tr>
      <w:tr w:rsidR="00C21ADE" w:rsidRPr="00485D1C" w14:paraId="31DC8C22" w14:textId="77777777" w:rsidTr="00AD1B26">
        <w:trPr>
          <w:jc w:val="center"/>
        </w:trPr>
        <w:tc>
          <w:tcPr>
            <w:tcW w:w="570" w:type="dxa"/>
            <w:shd w:val="clear" w:color="auto" w:fill="auto"/>
          </w:tcPr>
          <w:p w14:paraId="7AB31870" w14:textId="77777777" w:rsidR="00C21ADE" w:rsidRPr="00EC247F" w:rsidRDefault="00C21ADE" w:rsidP="00695B8A">
            <w:pPr>
              <w:rPr>
                <w:lang w:val="lt-LT"/>
              </w:rPr>
            </w:pPr>
            <w:r w:rsidRPr="00EC247F">
              <w:rPr>
                <w:lang w:val="lt-LT"/>
              </w:rPr>
              <w:t>2.</w:t>
            </w:r>
          </w:p>
        </w:tc>
        <w:tc>
          <w:tcPr>
            <w:tcW w:w="3115" w:type="dxa"/>
            <w:shd w:val="clear" w:color="auto" w:fill="auto"/>
          </w:tcPr>
          <w:p w14:paraId="43BD77F9" w14:textId="29DA61A8" w:rsidR="00C21ADE" w:rsidRPr="00EC247F" w:rsidRDefault="00D50292" w:rsidP="00D50292">
            <w:pPr>
              <w:rPr>
                <w:lang w:val="lt-LT"/>
              </w:rPr>
            </w:pPr>
            <w:r w:rsidRPr="00EC247F">
              <w:rPr>
                <w:lang w:val="lt-LT"/>
              </w:rPr>
              <w:t xml:space="preserve">Moterų skaičius, tenkantis </w:t>
            </w:r>
            <w:r w:rsidR="001F7E57" w:rsidRPr="00EC247F">
              <w:rPr>
                <w:lang w:val="lt-LT"/>
              </w:rPr>
              <w:t>1 tūkst.</w:t>
            </w:r>
            <w:r w:rsidR="00C21ADE" w:rsidRPr="00EC247F">
              <w:rPr>
                <w:color w:val="FF0000"/>
                <w:lang w:val="lt-LT"/>
              </w:rPr>
              <w:t xml:space="preserve"> </w:t>
            </w:r>
            <w:r w:rsidR="00C21ADE" w:rsidRPr="00EC247F">
              <w:rPr>
                <w:lang w:val="lt-LT"/>
              </w:rPr>
              <w:t>vyrų metų pradžioje</w:t>
            </w:r>
          </w:p>
        </w:tc>
        <w:tc>
          <w:tcPr>
            <w:tcW w:w="2340" w:type="dxa"/>
          </w:tcPr>
          <w:p w14:paraId="56B06BE4" w14:textId="77777777" w:rsidR="00C21ADE" w:rsidRPr="00EC247F" w:rsidRDefault="00C21ADE" w:rsidP="008F1868">
            <w:pPr>
              <w:rPr>
                <w:lang w:val="lt-LT"/>
              </w:rPr>
            </w:pPr>
            <w:r w:rsidRPr="00EC247F">
              <w:rPr>
                <w:lang w:val="lt-LT"/>
              </w:rPr>
              <w:t>Savivaldybės</w:t>
            </w:r>
          </w:p>
          <w:p w14:paraId="4927DAE6" w14:textId="77777777" w:rsidR="00C21ADE" w:rsidRPr="00EC247F" w:rsidRDefault="00C21ADE" w:rsidP="008F1868">
            <w:pPr>
              <w:rPr>
                <w:lang w:val="lt-LT"/>
              </w:rPr>
            </w:pPr>
            <w:r w:rsidRPr="00EC247F">
              <w:rPr>
                <w:lang w:val="lt-LT"/>
              </w:rPr>
              <w:t xml:space="preserve">Amžiaus grupės </w:t>
            </w:r>
            <w:r w:rsidRPr="00EC247F">
              <w:rPr>
                <w:lang w:val="lt-LT"/>
              </w:rPr>
              <w:lastRenderedPageBreak/>
              <w:t>(penkmetinės)</w:t>
            </w:r>
          </w:p>
        </w:tc>
        <w:tc>
          <w:tcPr>
            <w:tcW w:w="1727" w:type="dxa"/>
          </w:tcPr>
          <w:p w14:paraId="190597ED" w14:textId="02B389A1" w:rsidR="00C21ADE" w:rsidRPr="00EC247F" w:rsidRDefault="00812C48" w:rsidP="00695B8A">
            <w:pPr>
              <w:rPr>
                <w:lang w:val="lt-LT"/>
              </w:rPr>
            </w:pPr>
            <w:r>
              <w:rPr>
                <w:lang w:val="lt-LT"/>
              </w:rPr>
              <w:lastRenderedPageBreak/>
              <w:t>Skelbiama</w:t>
            </w:r>
          </w:p>
        </w:tc>
        <w:tc>
          <w:tcPr>
            <w:tcW w:w="1243" w:type="dxa"/>
            <w:gridSpan w:val="2"/>
          </w:tcPr>
          <w:p w14:paraId="06A227EF" w14:textId="77777777" w:rsidR="00C21ADE" w:rsidRPr="00EC247F" w:rsidRDefault="00C21ADE" w:rsidP="00695B8A">
            <w:pPr>
              <w:rPr>
                <w:lang w:val="lt-LT"/>
              </w:rPr>
            </w:pPr>
            <w:r w:rsidRPr="00EC247F">
              <w:rPr>
                <w:lang w:val="lt-LT"/>
              </w:rPr>
              <w:t>LSD</w:t>
            </w:r>
          </w:p>
        </w:tc>
        <w:tc>
          <w:tcPr>
            <w:tcW w:w="6750" w:type="dxa"/>
          </w:tcPr>
          <w:p w14:paraId="15E29E38" w14:textId="4FD7D5FE" w:rsidR="007571EC" w:rsidRPr="00EC247F" w:rsidRDefault="007E06F2" w:rsidP="00221721">
            <w:pPr>
              <w:rPr>
                <w:lang w:val="lt-LT"/>
              </w:rPr>
            </w:pPr>
            <w:r w:rsidRPr="00EC247F">
              <w:rPr>
                <w:lang w:val="lt-LT"/>
              </w:rPr>
              <w:t xml:space="preserve">Rodiklis </w:t>
            </w:r>
            <w:r w:rsidR="001D166B" w:rsidRPr="00EC247F">
              <w:rPr>
                <w:lang w:val="lt-LT"/>
              </w:rPr>
              <w:t>rodo</w:t>
            </w:r>
            <w:r w:rsidRPr="00EC247F">
              <w:rPr>
                <w:lang w:val="lt-LT"/>
              </w:rPr>
              <w:t xml:space="preserve"> moterų ir vyrų skaičiaus santykį, padaugintą iš 100</w:t>
            </w:r>
            <w:r w:rsidR="001F7E57" w:rsidRPr="00EC247F">
              <w:rPr>
                <w:lang w:val="lt-LT"/>
              </w:rPr>
              <w:t>0</w:t>
            </w:r>
            <w:r w:rsidRPr="00EC247F">
              <w:rPr>
                <w:lang w:val="lt-LT"/>
              </w:rPr>
              <w:t>.</w:t>
            </w:r>
            <w:r w:rsidR="000C0397" w:rsidRPr="00EC247F">
              <w:rPr>
                <w:lang w:val="lt-LT"/>
              </w:rPr>
              <w:t xml:space="preserve"> </w:t>
            </w:r>
            <w:r w:rsidR="007571EC" w:rsidRPr="00EC247F">
              <w:rPr>
                <w:lang w:val="lt-LT"/>
              </w:rPr>
              <w:t xml:space="preserve">Didelis moterų ir vyrų skaičiaus disbalansas gali sukelti neigiamų </w:t>
            </w:r>
            <w:r w:rsidR="007571EC" w:rsidRPr="00EC247F">
              <w:rPr>
                <w:lang w:val="lt-LT"/>
              </w:rPr>
              <w:lastRenderedPageBreak/>
              <w:t>pasekmių visuomenei, todėl pageidautina, kad populiacijos struktūra pagal lytį būtų subalansuota</w:t>
            </w:r>
            <w:r w:rsidR="007571EC" w:rsidRPr="00EC247F">
              <w:rPr>
                <w:rStyle w:val="FootnoteReference"/>
                <w:lang w:val="lt-LT"/>
              </w:rPr>
              <w:footnoteReference w:id="7"/>
            </w:r>
            <w:r w:rsidR="007571EC" w:rsidRPr="00EC247F">
              <w:rPr>
                <w:lang w:val="lt-LT"/>
              </w:rPr>
              <w:t>.</w:t>
            </w:r>
            <w:r w:rsidR="007571EC" w:rsidRPr="00EC247F">
              <w:rPr>
                <w:rFonts w:ascii="Helvetica" w:hAnsi="Helvetica"/>
                <w:color w:val="333333"/>
                <w:sz w:val="20"/>
                <w:szCs w:val="20"/>
                <w:shd w:val="clear" w:color="auto" w:fill="FFFFFF"/>
                <w:lang w:val="lt-LT"/>
              </w:rPr>
              <w:t> </w:t>
            </w:r>
          </w:p>
        </w:tc>
      </w:tr>
      <w:tr w:rsidR="00C21ADE" w:rsidRPr="00485D1C" w14:paraId="3B25E44D" w14:textId="77777777" w:rsidTr="00AD1B26">
        <w:trPr>
          <w:jc w:val="center"/>
        </w:trPr>
        <w:tc>
          <w:tcPr>
            <w:tcW w:w="570" w:type="dxa"/>
          </w:tcPr>
          <w:p w14:paraId="74F8BA42" w14:textId="2A079701" w:rsidR="00C21ADE" w:rsidRPr="00EC247F" w:rsidRDefault="00C21ADE" w:rsidP="00695B8A">
            <w:pPr>
              <w:rPr>
                <w:lang w:val="lt-LT"/>
              </w:rPr>
            </w:pPr>
            <w:r w:rsidRPr="00EC247F">
              <w:rPr>
                <w:lang w:val="lt-LT"/>
              </w:rPr>
              <w:lastRenderedPageBreak/>
              <w:t>3.</w:t>
            </w:r>
          </w:p>
        </w:tc>
        <w:tc>
          <w:tcPr>
            <w:tcW w:w="3115" w:type="dxa"/>
          </w:tcPr>
          <w:p w14:paraId="050E61E1" w14:textId="77777777" w:rsidR="00C21ADE" w:rsidRPr="00EC247F" w:rsidRDefault="00C21ADE" w:rsidP="00695B8A">
            <w:pPr>
              <w:rPr>
                <w:lang w:val="lt-LT"/>
              </w:rPr>
            </w:pPr>
            <w:r w:rsidRPr="00EC247F">
              <w:rPr>
                <w:lang w:val="lt-LT"/>
              </w:rPr>
              <w:t>Išlaikomo amžiaus žmonių koeficientas metų pradžioje</w:t>
            </w:r>
          </w:p>
        </w:tc>
        <w:tc>
          <w:tcPr>
            <w:tcW w:w="2340" w:type="dxa"/>
          </w:tcPr>
          <w:p w14:paraId="13CD976F" w14:textId="77777777" w:rsidR="00C21ADE" w:rsidRPr="00EC247F" w:rsidRDefault="00C21ADE" w:rsidP="00695B8A">
            <w:pPr>
              <w:rPr>
                <w:lang w:val="lt-LT"/>
              </w:rPr>
            </w:pPr>
            <w:r w:rsidRPr="00EC247F">
              <w:rPr>
                <w:lang w:val="lt-LT"/>
              </w:rPr>
              <w:t>Savivaldybės</w:t>
            </w:r>
          </w:p>
          <w:p w14:paraId="5137349F" w14:textId="77777777" w:rsidR="00C21ADE" w:rsidRPr="00EC247F" w:rsidRDefault="00C21ADE" w:rsidP="00695B8A">
            <w:pPr>
              <w:rPr>
                <w:lang w:val="lt-LT"/>
              </w:rPr>
            </w:pPr>
            <w:r w:rsidRPr="00EC247F">
              <w:rPr>
                <w:lang w:val="lt-LT"/>
              </w:rPr>
              <w:t>Amžiaus grupės (0–14; 65 ir vyresni)</w:t>
            </w:r>
          </w:p>
        </w:tc>
        <w:tc>
          <w:tcPr>
            <w:tcW w:w="1727" w:type="dxa"/>
          </w:tcPr>
          <w:p w14:paraId="4DEA938C" w14:textId="52AF3A01" w:rsidR="00C21ADE" w:rsidRPr="00EC247F" w:rsidRDefault="00812C48" w:rsidP="00695B8A">
            <w:pPr>
              <w:rPr>
                <w:lang w:val="lt-LT"/>
              </w:rPr>
            </w:pPr>
            <w:r>
              <w:rPr>
                <w:lang w:val="lt-LT"/>
              </w:rPr>
              <w:t>S</w:t>
            </w:r>
            <w:r w:rsidRPr="00812C48">
              <w:rPr>
                <w:lang w:val="lt-LT"/>
              </w:rPr>
              <w:t>kelbiama</w:t>
            </w:r>
          </w:p>
        </w:tc>
        <w:tc>
          <w:tcPr>
            <w:tcW w:w="1243" w:type="dxa"/>
            <w:gridSpan w:val="2"/>
          </w:tcPr>
          <w:p w14:paraId="3B2B4F41" w14:textId="77777777" w:rsidR="00C21ADE" w:rsidRPr="00EC247F" w:rsidRDefault="00C21ADE" w:rsidP="00695B8A">
            <w:pPr>
              <w:rPr>
                <w:lang w:val="lt-LT"/>
              </w:rPr>
            </w:pPr>
            <w:r w:rsidRPr="00EC247F">
              <w:rPr>
                <w:lang w:val="lt-LT"/>
              </w:rPr>
              <w:t>LSD</w:t>
            </w:r>
          </w:p>
        </w:tc>
        <w:tc>
          <w:tcPr>
            <w:tcW w:w="6750" w:type="dxa"/>
          </w:tcPr>
          <w:p w14:paraId="078C51F3" w14:textId="77777777" w:rsidR="00C21ADE" w:rsidRPr="00EC247F" w:rsidRDefault="00C21ADE" w:rsidP="00695B8A">
            <w:pPr>
              <w:rPr>
                <w:lang w:val="lt-LT"/>
              </w:rPr>
            </w:pPr>
            <w:r w:rsidRPr="00EC247F">
              <w:rPr>
                <w:lang w:val="lt-LT"/>
              </w:rPr>
              <w:t>Tyrimai rodo, kad didžiąją dalį vadinamųjų priežiūros darbų (</w:t>
            </w:r>
            <w:r w:rsidRPr="00EC247F">
              <w:rPr>
                <w:i/>
                <w:lang w:val="lt-LT"/>
              </w:rPr>
              <w:t xml:space="preserve">care </w:t>
            </w:r>
            <w:proofErr w:type="spellStart"/>
            <w:r w:rsidRPr="00EC247F">
              <w:rPr>
                <w:i/>
                <w:lang w:val="lt-LT"/>
              </w:rPr>
              <w:t>work</w:t>
            </w:r>
            <w:proofErr w:type="spellEnd"/>
            <w:r w:rsidRPr="00EC247F">
              <w:rPr>
                <w:lang w:val="lt-LT"/>
              </w:rPr>
              <w:t>)</w:t>
            </w:r>
            <w:r w:rsidR="000B3CF1" w:rsidRPr="00EC247F">
              <w:rPr>
                <w:lang w:val="lt-LT"/>
              </w:rPr>
              <w:t>,</w:t>
            </w:r>
            <w:r w:rsidRPr="00EC247F">
              <w:rPr>
                <w:lang w:val="lt-LT"/>
              </w:rPr>
              <w:t xml:space="preserve"> susijusių tiek su vaikais, tiek su pagyvenusiais žmonėmis, atlieka moterys. Todėl išlaikomo amžiaus žmonių koeficientas atspindi ne tik gyventojų amžiaus struktūrą, bet ir tikėtiną „priežiūros darbų“ naštą, tenkančią moterims skirtingose savivaldybėse.  </w:t>
            </w:r>
          </w:p>
          <w:p w14:paraId="2D3088E2" w14:textId="55CFBA8F" w:rsidR="00C21ADE" w:rsidRPr="00702435" w:rsidRDefault="00C21ADE" w:rsidP="00713230">
            <w:pPr>
              <w:shd w:val="clear" w:color="auto" w:fill="FFFFFF"/>
              <w:spacing w:before="100" w:beforeAutospacing="1" w:after="100" w:afterAutospacing="1"/>
              <w:rPr>
                <w:i/>
                <w:lang w:val="lt-LT"/>
              </w:rPr>
            </w:pPr>
            <w:r w:rsidRPr="00702435">
              <w:rPr>
                <w:b/>
                <w:bCs/>
                <w:i/>
                <w:lang w:val="lt-LT"/>
              </w:rPr>
              <w:t xml:space="preserve">Bendrasis išlaikomo amžiaus žmonių koeficientas </w:t>
            </w:r>
            <w:r w:rsidRPr="00702435">
              <w:rPr>
                <w:i/>
                <w:lang w:val="lt-LT"/>
              </w:rPr>
              <w:t>yra vaikų iki 15 metų amžiaus ir pagyvenusių (65 metų ir vyresnio amžiaus) žmonių skaičius, tenkantis šimtui 15–64 metų amž</w:t>
            </w:r>
            <w:r w:rsidR="00221721" w:rsidRPr="00702435">
              <w:rPr>
                <w:i/>
                <w:lang w:val="lt-LT"/>
              </w:rPr>
              <w:t>iaus gyventojų.</w:t>
            </w:r>
          </w:p>
          <w:p w14:paraId="3A000305" w14:textId="13D83AEA" w:rsidR="00C21ADE" w:rsidRPr="00702435" w:rsidRDefault="00C21ADE" w:rsidP="009E5F9E">
            <w:pPr>
              <w:shd w:val="clear" w:color="auto" w:fill="FFFFFF"/>
              <w:spacing w:before="100" w:beforeAutospacing="1" w:after="100" w:afterAutospacing="1"/>
              <w:rPr>
                <w:i/>
                <w:lang w:val="lt-LT"/>
              </w:rPr>
            </w:pPr>
            <w:r w:rsidRPr="00702435">
              <w:rPr>
                <w:b/>
                <w:i/>
                <w:lang w:val="lt-LT"/>
              </w:rPr>
              <w:t>Išlaikomo amžiaus vaikų koeficientas</w:t>
            </w:r>
            <w:r w:rsidRPr="00702435">
              <w:rPr>
                <w:i/>
                <w:lang w:val="lt-LT"/>
              </w:rPr>
              <w:t xml:space="preserve"> – vaikų iki 15 metų amžiaus skaičius, tenkantis šimtui 15</w:t>
            </w:r>
            <w:r w:rsidR="00221721" w:rsidRPr="00702435">
              <w:rPr>
                <w:i/>
                <w:lang w:val="lt-LT"/>
              </w:rPr>
              <w:t>–64 metų amžiaus gyventojų</w:t>
            </w:r>
            <w:r w:rsidRPr="00702435">
              <w:rPr>
                <w:i/>
                <w:lang w:val="lt-LT"/>
              </w:rPr>
              <w:t xml:space="preserve">. </w:t>
            </w:r>
          </w:p>
          <w:p w14:paraId="2D80A425" w14:textId="4F1BD9DF" w:rsidR="00C21ADE" w:rsidRPr="00EC247F" w:rsidRDefault="00C21ADE" w:rsidP="009E5F9E">
            <w:pPr>
              <w:shd w:val="clear" w:color="auto" w:fill="FFFFFF"/>
              <w:spacing w:before="100" w:beforeAutospacing="1" w:after="100" w:afterAutospacing="1"/>
              <w:rPr>
                <w:highlight w:val="yellow"/>
                <w:lang w:val="lt-LT"/>
              </w:rPr>
            </w:pPr>
            <w:r w:rsidRPr="00702435">
              <w:rPr>
                <w:b/>
                <w:i/>
                <w:lang w:val="lt-LT"/>
              </w:rPr>
              <w:t>Išlaikomo amžiaus pagyvenusių žmonių koeficientas</w:t>
            </w:r>
            <w:r w:rsidRPr="00702435">
              <w:rPr>
                <w:i/>
                <w:lang w:val="lt-LT"/>
              </w:rPr>
              <w:t xml:space="preserve"> – pagyvenusių (65 metų ir vyresnio amžiaus) žmonių skaičius, tenkantis šimtui 15</w:t>
            </w:r>
            <w:r w:rsidR="00221721" w:rsidRPr="00702435">
              <w:rPr>
                <w:i/>
                <w:lang w:val="lt-LT"/>
              </w:rPr>
              <w:t>–64 metų amžiaus gyventojų</w:t>
            </w:r>
            <w:r w:rsidR="00221721" w:rsidRPr="00EC247F">
              <w:rPr>
                <w:rStyle w:val="FootnoteReference"/>
                <w:lang w:val="lt-LT"/>
              </w:rPr>
              <w:footnoteReference w:id="8"/>
            </w:r>
            <w:r w:rsidRPr="00EC247F">
              <w:rPr>
                <w:lang w:val="lt-LT"/>
              </w:rPr>
              <w:t>.</w:t>
            </w:r>
          </w:p>
        </w:tc>
      </w:tr>
      <w:tr w:rsidR="00C21ADE" w:rsidRPr="00EC247F" w14:paraId="52B11642" w14:textId="77777777" w:rsidTr="00AD1B26">
        <w:trPr>
          <w:jc w:val="center"/>
        </w:trPr>
        <w:tc>
          <w:tcPr>
            <w:tcW w:w="570" w:type="dxa"/>
          </w:tcPr>
          <w:p w14:paraId="37B4350A" w14:textId="77777777" w:rsidR="00C21ADE" w:rsidRPr="00EC247F" w:rsidRDefault="00C21ADE" w:rsidP="00695B8A">
            <w:pPr>
              <w:rPr>
                <w:lang w:val="lt-LT"/>
              </w:rPr>
            </w:pPr>
            <w:r w:rsidRPr="00EC247F">
              <w:rPr>
                <w:lang w:val="lt-LT"/>
              </w:rPr>
              <w:t>4.</w:t>
            </w:r>
          </w:p>
          <w:p w14:paraId="17639D06" w14:textId="77777777" w:rsidR="00C21ADE" w:rsidRPr="00EC247F" w:rsidRDefault="00C21ADE" w:rsidP="00695B8A">
            <w:pPr>
              <w:rPr>
                <w:lang w:val="lt-LT"/>
              </w:rPr>
            </w:pPr>
          </w:p>
        </w:tc>
        <w:tc>
          <w:tcPr>
            <w:tcW w:w="3115" w:type="dxa"/>
          </w:tcPr>
          <w:p w14:paraId="638BA13B" w14:textId="77777777" w:rsidR="00C21ADE" w:rsidRPr="00EC247F" w:rsidRDefault="00C21ADE" w:rsidP="00695B8A">
            <w:pPr>
              <w:rPr>
                <w:lang w:val="lt-LT"/>
              </w:rPr>
            </w:pPr>
            <w:r w:rsidRPr="00EC247F">
              <w:rPr>
                <w:lang w:val="lt-LT"/>
              </w:rPr>
              <w:t xml:space="preserve">Atvykusiųjų ir imigrantų skaičius, tenkantis 1 tūkst. gyventojų </w:t>
            </w:r>
          </w:p>
        </w:tc>
        <w:tc>
          <w:tcPr>
            <w:tcW w:w="2340" w:type="dxa"/>
          </w:tcPr>
          <w:p w14:paraId="7EB53B28" w14:textId="77777777" w:rsidR="00C21ADE" w:rsidRPr="00EC247F" w:rsidRDefault="00C21ADE" w:rsidP="00DD0B81">
            <w:pPr>
              <w:rPr>
                <w:lang w:val="lt-LT"/>
              </w:rPr>
            </w:pPr>
            <w:r w:rsidRPr="00EC247F">
              <w:rPr>
                <w:lang w:val="lt-LT"/>
              </w:rPr>
              <w:t>Lytis</w:t>
            </w:r>
          </w:p>
          <w:p w14:paraId="09AB6EDC" w14:textId="77777777" w:rsidR="00C21ADE" w:rsidRPr="00EC247F" w:rsidRDefault="00C21ADE" w:rsidP="00DD0B81">
            <w:pPr>
              <w:rPr>
                <w:lang w:val="lt-LT"/>
              </w:rPr>
            </w:pPr>
            <w:r w:rsidRPr="00EC247F">
              <w:rPr>
                <w:lang w:val="lt-LT"/>
              </w:rPr>
              <w:t>Savivaldybės</w:t>
            </w:r>
          </w:p>
          <w:p w14:paraId="10C8B52F" w14:textId="77777777" w:rsidR="00C21ADE" w:rsidRPr="00EC247F" w:rsidRDefault="00C21ADE" w:rsidP="00DD0B81">
            <w:pPr>
              <w:rPr>
                <w:lang w:val="lt-LT"/>
              </w:rPr>
            </w:pPr>
            <w:r w:rsidRPr="00EC247F">
              <w:rPr>
                <w:lang w:val="lt-LT"/>
              </w:rPr>
              <w:t>Amžiaus grupės (</w:t>
            </w:r>
            <w:r w:rsidR="00B135EA" w:rsidRPr="00EC247F">
              <w:rPr>
                <w:lang w:val="lt-LT"/>
              </w:rPr>
              <w:t>0–14; 15–64</w:t>
            </w:r>
            <w:r w:rsidRPr="00EC247F">
              <w:rPr>
                <w:lang w:val="lt-LT"/>
              </w:rPr>
              <w:t>; 65 ir vyresni / penkmetinės)</w:t>
            </w:r>
          </w:p>
        </w:tc>
        <w:tc>
          <w:tcPr>
            <w:tcW w:w="1727" w:type="dxa"/>
          </w:tcPr>
          <w:p w14:paraId="7EDB7595" w14:textId="305A42DD" w:rsidR="00C21ADE" w:rsidRPr="00EC247F" w:rsidRDefault="00812C48" w:rsidP="00922BBF">
            <w:pPr>
              <w:rPr>
                <w:lang w:val="lt-LT"/>
              </w:rPr>
            </w:pPr>
            <w:r>
              <w:rPr>
                <w:lang w:val="lt-LT"/>
              </w:rPr>
              <w:t>Dalinai skelbiama</w:t>
            </w:r>
            <w:r w:rsidR="00395B3A">
              <w:rPr>
                <w:rStyle w:val="FootnoteReference"/>
                <w:lang w:val="lt-LT"/>
              </w:rPr>
              <w:footnoteReference w:id="9"/>
            </w:r>
            <w:r>
              <w:rPr>
                <w:lang w:val="lt-LT"/>
              </w:rPr>
              <w:t xml:space="preserve"> (nėra pjūvio pagal lytį ir amžiaus grupes</w:t>
            </w:r>
            <w:r w:rsidR="00922BBF" w:rsidRPr="00922BBF">
              <w:rPr>
                <w:lang w:val="lt-LT"/>
              </w:rPr>
              <w:t xml:space="preserve"> </w:t>
            </w:r>
            <w:r w:rsidR="00922BBF">
              <w:rPr>
                <w:lang w:val="lt-LT"/>
              </w:rPr>
              <w:t>savivaldybėse</w:t>
            </w:r>
            <w:r w:rsidR="00655D3D">
              <w:rPr>
                <w:lang w:val="lt-LT"/>
              </w:rPr>
              <w:t>; skelbiami tik absoliutūs sk.</w:t>
            </w:r>
            <w:r>
              <w:rPr>
                <w:lang w:val="lt-LT"/>
              </w:rPr>
              <w:t>)</w:t>
            </w:r>
          </w:p>
        </w:tc>
        <w:tc>
          <w:tcPr>
            <w:tcW w:w="1243" w:type="dxa"/>
            <w:gridSpan w:val="2"/>
          </w:tcPr>
          <w:p w14:paraId="443AC718" w14:textId="77777777" w:rsidR="00C21ADE" w:rsidRPr="00EC247F" w:rsidRDefault="00C21ADE" w:rsidP="00695B8A">
            <w:pPr>
              <w:rPr>
                <w:lang w:val="lt-LT"/>
              </w:rPr>
            </w:pPr>
            <w:r w:rsidRPr="00EC247F">
              <w:rPr>
                <w:lang w:val="lt-LT"/>
              </w:rPr>
              <w:t>LSD</w:t>
            </w:r>
          </w:p>
        </w:tc>
        <w:tc>
          <w:tcPr>
            <w:tcW w:w="6750" w:type="dxa"/>
          </w:tcPr>
          <w:p w14:paraId="1DF4C833" w14:textId="4DA535F3" w:rsidR="00C21ADE" w:rsidRPr="00EC247F" w:rsidRDefault="00C21ADE" w:rsidP="001A2E14">
            <w:pPr>
              <w:rPr>
                <w:lang w:val="lt-LT"/>
              </w:rPr>
            </w:pPr>
            <w:r w:rsidRPr="00EC247F">
              <w:rPr>
                <w:lang w:val="lt-LT"/>
              </w:rPr>
              <w:t>Migracijos metu sukuriamos ne tik naujos galimybės, bet ir naujos n</w:t>
            </w:r>
            <w:r w:rsidR="0092074E">
              <w:rPr>
                <w:lang w:val="lt-LT"/>
              </w:rPr>
              <w:t>elygybės. Pasiekus tikslo šalį/</w:t>
            </w:r>
            <w:r w:rsidRPr="00EC247F">
              <w:rPr>
                <w:lang w:val="lt-LT"/>
              </w:rPr>
              <w:t>savivaldybę lytis išlieka vienu svarbiausių veiksnių, apsprendžianči</w:t>
            </w:r>
            <w:r w:rsidR="00735ECF" w:rsidRPr="00EC247F">
              <w:rPr>
                <w:lang w:val="lt-LT"/>
              </w:rPr>
              <w:t>ų</w:t>
            </w:r>
            <w:r w:rsidRPr="00EC247F">
              <w:rPr>
                <w:lang w:val="lt-LT"/>
              </w:rPr>
              <w:t xml:space="preserve"> atvykusiųjų ir imigrantų tolimesnes patirtis ir migracijos pasekmes</w:t>
            </w:r>
            <w:r w:rsidR="001A2E14" w:rsidRPr="00EC247F">
              <w:rPr>
                <w:rStyle w:val="FootnoteReference"/>
                <w:lang w:val="lt-LT"/>
              </w:rPr>
              <w:footnoteReference w:id="10"/>
            </w:r>
            <w:r w:rsidRPr="00EC247F">
              <w:rPr>
                <w:lang w:val="lt-LT"/>
              </w:rPr>
              <w:t>. Todėl informacija apie atvykusius ir imigrantus pagal lytį itin aktuali.</w:t>
            </w:r>
          </w:p>
        </w:tc>
      </w:tr>
      <w:tr w:rsidR="00C21ADE" w:rsidRPr="00485D1C" w14:paraId="7080A6AB" w14:textId="77777777" w:rsidTr="00AD1B26">
        <w:trPr>
          <w:jc w:val="center"/>
        </w:trPr>
        <w:tc>
          <w:tcPr>
            <w:tcW w:w="570" w:type="dxa"/>
          </w:tcPr>
          <w:p w14:paraId="6EAFB19F" w14:textId="77777777" w:rsidR="00C21ADE" w:rsidRPr="00EC247F" w:rsidRDefault="00C21ADE" w:rsidP="00695B8A">
            <w:pPr>
              <w:rPr>
                <w:lang w:val="lt-LT"/>
              </w:rPr>
            </w:pPr>
            <w:r w:rsidRPr="00EC247F">
              <w:rPr>
                <w:lang w:val="lt-LT"/>
              </w:rPr>
              <w:t>5.</w:t>
            </w:r>
          </w:p>
        </w:tc>
        <w:tc>
          <w:tcPr>
            <w:tcW w:w="3115" w:type="dxa"/>
          </w:tcPr>
          <w:p w14:paraId="653E242F" w14:textId="77777777" w:rsidR="00C21ADE" w:rsidRPr="00EC247F" w:rsidRDefault="00C21ADE" w:rsidP="00695B8A">
            <w:pPr>
              <w:rPr>
                <w:lang w:val="lt-LT"/>
              </w:rPr>
            </w:pPr>
            <w:r w:rsidRPr="00EC247F">
              <w:rPr>
                <w:lang w:val="lt-LT"/>
              </w:rPr>
              <w:t>Išvykusiųjų ir emigrantų skaičius, tenkantis 1 tūkst. gyventojų</w:t>
            </w:r>
          </w:p>
        </w:tc>
        <w:tc>
          <w:tcPr>
            <w:tcW w:w="2340" w:type="dxa"/>
          </w:tcPr>
          <w:p w14:paraId="1BFF0FFE" w14:textId="77777777" w:rsidR="00C21ADE" w:rsidRPr="00EC247F" w:rsidRDefault="00C21ADE" w:rsidP="00DD0B81">
            <w:pPr>
              <w:rPr>
                <w:lang w:val="lt-LT"/>
              </w:rPr>
            </w:pPr>
            <w:r w:rsidRPr="00EC247F">
              <w:rPr>
                <w:lang w:val="lt-LT"/>
              </w:rPr>
              <w:t>Lytis</w:t>
            </w:r>
          </w:p>
          <w:p w14:paraId="231552D9" w14:textId="77777777" w:rsidR="00C21ADE" w:rsidRPr="00EC247F" w:rsidRDefault="00C21ADE" w:rsidP="00DD0B81">
            <w:pPr>
              <w:rPr>
                <w:lang w:val="lt-LT"/>
              </w:rPr>
            </w:pPr>
            <w:r w:rsidRPr="00EC247F">
              <w:rPr>
                <w:lang w:val="lt-LT"/>
              </w:rPr>
              <w:t>Savivaldybės</w:t>
            </w:r>
          </w:p>
          <w:p w14:paraId="041824EE" w14:textId="77777777" w:rsidR="00C21ADE" w:rsidRPr="00EC247F" w:rsidRDefault="00C21ADE" w:rsidP="00DD0B81">
            <w:pPr>
              <w:rPr>
                <w:lang w:val="lt-LT"/>
              </w:rPr>
            </w:pPr>
            <w:r w:rsidRPr="00EC247F">
              <w:rPr>
                <w:lang w:val="lt-LT"/>
              </w:rPr>
              <w:t>Amžiaus grupės (</w:t>
            </w:r>
            <w:r w:rsidR="00B135EA" w:rsidRPr="00EC247F">
              <w:rPr>
                <w:lang w:val="lt-LT"/>
              </w:rPr>
              <w:t>0–</w:t>
            </w:r>
            <w:r w:rsidR="00B135EA" w:rsidRPr="00EC247F">
              <w:rPr>
                <w:lang w:val="lt-LT"/>
              </w:rPr>
              <w:lastRenderedPageBreak/>
              <w:t>14; 15–64</w:t>
            </w:r>
            <w:r w:rsidRPr="00EC247F">
              <w:rPr>
                <w:lang w:val="lt-LT"/>
              </w:rPr>
              <w:t>; 65 ir vyresni / penkmetinės)</w:t>
            </w:r>
          </w:p>
        </w:tc>
        <w:tc>
          <w:tcPr>
            <w:tcW w:w="1727" w:type="dxa"/>
          </w:tcPr>
          <w:p w14:paraId="2D4D66A0" w14:textId="5CD0F1AA" w:rsidR="00C21ADE" w:rsidRPr="00EC247F" w:rsidRDefault="00812C48" w:rsidP="00922BBF">
            <w:pPr>
              <w:rPr>
                <w:lang w:val="lt-LT"/>
              </w:rPr>
            </w:pPr>
            <w:r w:rsidRPr="00812C48">
              <w:rPr>
                <w:lang w:val="lt-LT"/>
              </w:rPr>
              <w:lastRenderedPageBreak/>
              <w:t xml:space="preserve">Dalinai skelbiama (nėra pjūvio </w:t>
            </w:r>
            <w:r w:rsidRPr="00812C48">
              <w:rPr>
                <w:lang w:val="lt-LT"/>
              </w:rPr>
              <w:lastRenderedPageBreak/>
              <w:t>pagal lytį ir amžiaus grupes</w:t>
            </w:r>
            <w:r w:rsidR="00922BBF" w:rsidRPr="00922BBF">
              <w:rPr>
                <w:lang w:val="lt-LT"/>
              </w:rPr>
              <w:t xml:space="preserve"> savivaldybėse</w:t>
            </w:r>
            <w:r w:rsidR="00655D3D">
              <w:rPr>
                <w:lang w:val="lt-LT"/>
              </w:rPr>
              <w:t>; skelbiami tik absoliutūs sk.</w:t>
            </w:r>
            <w:r w:rsidRPr="00812C48">
              <w:rPr>
                <w:lang w:val="lt-LT"/>
              </w:rPr>
              <w:t>)</w:t>
            </w:r>
          </w:p>
        </w:tc>
        <w:tc>
          <w:tcPr>
            <w:tcW w:w="1243" w:type="dxa"/>
            <w:gridSpan w:val="2"/>
          </w:tcPr>
          <w:p w14:paraId="0D66C964" w14:textId="77777777" w:rsidR="00C21ADE" w:rsidRPr="00EC247F" w:rsidRDefault="00C21ADE" w:rsidP="00695B8A">
            <w:pPr>
              <w:rPr>
                <w:lang w:val="lt-LT"/>
              </w:rPr>
            </w:pPr>
            <w:r w:rsidRPr="00EC247F">
              <w:rPr>
                <w:lang w:val="lt-LT"/>
              </w:rPr>
              <w:lastRenderedPageBreak/>
              <w:t>LSD</w:t>
            </w:r>
          </w:p>
        </w:tc>
        <w:tc>
          <w:tcPr>
            <w:tcW w:w="6750" w:type="dxa"/>
          </w:tcPr>
          <w:p w14:paraId="3B48BCD2" w14:textId="429B9D82" w:rsidR="00C21ADE" w:rsidRPr="00EC247F" w:rsidRDefault="00C21ADE" w:rsidP="00812C48">
            <w:pPr>
              <w:rPr>
                <w:lang w:val="lt-LT"/>
              </w:rPr>
            </w:pPr>
            <w:r w:rsidRPr="00EC247F">
              <w:rPr>
                <w:lang w:val="lt-LT"/>
              </w:rPr>
              <w:t xml:space="preserve">Su išorine ir vidine migracija susijusios tendencijos suteikia naudingos informacijos apie žmonių pasitenkinimą gyvenimu. Informacija apie išvykusiuosius ir emigrantus pagal lytį sudaro </w:t>
            </w:r>
            <w:r w:rsidRPr="00EC247F">
              <w:rPr>
                <w:lang w:val="lt-LT"/>
              </w:rPr>
              <w:lastRenderedPageBreak/>
              <w:t xml:space="preserve">galimybes daryti prielaidas, kas – </w:t>
            </w:r>
            <w:r w:rsidR="00812C48" w:rsidRPr="00812C48">
              <w:rPr>
                <w:lang w:val="lt-LT"/>
              </w:rPr>
              <w:t xml:space="preserve">moterys ar </w:t>
            </w:r>
            <w:r w:rsidRPr="00EC247F">
              <w:rPr>
                <w:lang w:val="lt-LT"/>
              </w:rPr>
              <w:t>vyrai – patiria didesnį ekonominį, socialinį nesaugumą, yra labiau nepatenkinti esama padėtimi konkrečioje savivaldybėje ir ieško galimybių savo potencialą realizuoti kitoje savivaldybėje ar užsienio šalyje.</w:t>
            </w:r>
          </w:p>
        </w:tc>
      </w:tr>
      <w:tr w:rsidR="00C21ADE" w:rsidRPr="00485D1C" w14:paraId="3E2167B2" w14:textId="77777777" w:rsidTr="00AD1B26">
        <w:trPr>
          <w:jc w:val="center"/>
        </w:trPr>
        <w:tc>
          <w:tcPr>
            <w:tcW w:w="570" w:type="dxa"/>
          </w:tcPr>
          <w:p w14:paraId="1286DAEC" w14:textId="77777777" w:rsidR="00C21ADE" w:rsidRPr="00EC247F" w:rsidRDefault="00C21ADE" w:rsidP="005B7EC4">
            <w:pPr>
              <w:spacing w:after="160" w:line="259" w:lineRule="auto"/>
              <w:rPr>
                <w:lang w:val="lt-LT"/>
              </w:rPr>
            </w:pPr>
            <w:r w:rsidRPr="00EC247F">
              <w:rPr>
                <w:lang w:val="lt-LT"/>
              </w:rPr>
              <w:lastRenderedPageBreak/>
              <w:t>6.</w:t>
            </w:r>
          </w:p>
        </w:tc>
        <w:tc>
          <w:tcPr>
            <w:tcW w:w="3115" w:type="dxa"/>
          </w:tcPr>
          <w:p w14:paraId="5A893951" w14:textId="77777777" w:rsidR="00C21ADE" w:rsidRPr="00EC247F" w:rsidRDefault="00C21ADE" w:rsidP="005B7EC4">
            <w:pPr>
              <w:spacing w:after="160" w:line="259" w:lineRule="auto"/>
              <w:rPr>
                <w:lang w:val="lt-LT"/>
              </w:rPr>
            </w:pPr>
            <w:r w:rsidRPr="00EC247F">
              <w:rPr>
                <w:lang w:val="lt-LT"/>
              </w:rPr>
              <w:t xml:space="preserve">Vidutinė tikėtina gyvenimo trukmė </w:t>
            </w:r>
          </w:p>
        </w:tc>
        <w:tc>
          <w:tcPr>
            <w:tcW w:w="2340" w:type="dxa"/>
          </w:tcPr>
          <w:p w14:paraId="5D68D15C" w14:textId="77777777" w:rsidR="00C21ADE" w:rsidRPr="00EC247F" w:rsidRDefault="00C21ADE" w:rsidP="00695B8A">
            <w:pPr>
              <w:rPr>
                <w:lang w:val="lt-LT"/>
              </w:rPr>
            </w:pPr>
            <w:r w:rsidRPr="00EC247F">
              <w:rPr>
                <w:lang w:val="lt-LT"/>
              </w:rPr>
              <w:t>Lytis</w:t>
            </w:r>
          </w:p>
          <w:p w14:paraId="193496B5" w14:textId="77777777" w:rsidR="00C21ADE" w:rsidRPr="00EC247F" w:rsidRDefault="00C21ADE" w:rsidP="00695B8A">
            <w:pPr>
              <w:rPr>
                <w:lang w:val="lt-LT"/>
              </w:rPr>
            </w:pPr>
            <w:r w:rsidRPr="00EC247F">
              <w:rPr>
                <w:lang w:val="lt-LT"/>
              </w:rPr>
              <w:t>Savivaldybės</w:t>
            </w:r>
          </w:p>
          <w:p w14:paraId="118660E5" w14:textId="77777777" w:rsidR="00C21ADE" w:rsidRPr="00EC247F" w:rsidRDefault="00C21ADE" w:rsidP="00695B8A">
            <w:pPr>
              <w:rPr>
                <w:lang w:val="lt-LT"/>
              </w:rPr>
            </w:pPr>
            <w:r w:rsidRPr="00EC247F">
              <w:rPr>
                <w:lang w:val="lt-LT"/>
              </w:rPr>
              <w:t>Amžius (0; 1; 5 ... 85)</w:t>
            </w:r>
          </w:p>
        </w:tc>
        <w:tc>
          <w:tcPr>
            <w:tcW w:w="1727" w:type="dxa"/>
          </w:tcPr>
          <w:p w14:paraId="6B3FDB13" w14:textId="7144E19B" w:rsidR="00C21ADE" w:rsidRPr="00EC247F" w:rsidRDefault="00812C48" w:rsidP="00695B8A">
            <w:pPr>
              <w:rPr>
                <w:lang w:val="lt-LT"/>
              </w:rPr>
            </w:pPr>
            <w:r>
              <w:rPr>
                <w:lang w:val="lt-LT"/>
              </w:rPr>
              <w:t xml:space="preserve">Dalinai skelbiama (nėra pjūvio </w:t>
            </w:r>
            <w:r w:rsidR="00922BBF">
              <w:rPr>
                <w:lang w:val="lt-LT"/>
              </w:rPr>
              <w:t>pagal savivaldybes (tik apskrity</w:t>
            </w:r>
            <w:r>
              <w:rPr>
                <w:lang w:val="lt-LT"/>
              </w:rPr>
              <w:t>s) ir lytį)</w:t>
            </w:r>
          </w:p>
        </w:tc>
        <w:tc>
          <w:tcPr>
            <w:tcW w:w="1243" w:type="dxa"/>
            <w:gridSpan w:val="2"/>
          </w:tcPr>
          <w:p w14:paraId="0BC4565A" w14:textId="77777777" w:rsidR="00C21ADE" w:rsidRPr="00EC247F" w:rsidRDefault="00C21ADE" w:rsidP="00695B8A">
            <w:pPr>
              <w:rPr>
                <w:lang w:val="lt-LT"/>
              </w:rPr>
            </w:pPr>
            <w:r w:rsidRPr="00EC247F">
              <w:rPr>
                <w:lang w:val="lt-LT"/>
              </w:rPr>
              <w:t>LSD</w:t>
            </w:r>
          </w:p>
        </w:tc>
        <w:tc>
          <w:tcPr>
            <w:tcW w:w="6750" w:type="dxa"/>
          </w:tcPr>
          <w:p w14:paraId="06316449" w14:textId="0B63303E" w:rsidR="00C21ADE" w:rsidRPr="00EC247F" w:rsidRDefault="00C21ADE" w:rsidP="00956552">
            <w:pPr>
              <w:rPr>
                <w:lang w:val="lt-LT"/>
              </w:rPr>
            </w:pPr>
            <w:r w:rsidRPr="00EC247F">
              <w:rPr>
                <w:lang w:val="lt-LT"/>
              </w:rPr>
              <w:t xml:space="preserve">Vidutinė tikėtina gyvenimo trukmė yra vienas dažniausiai naudojamų sveikatos </w:t>
            </w:r>
            <w:r w:rsidR="008063EC" w:rsidRPr="00EC247F">
              <w:rPr>
                <w:lang w:val="lt-LT"/>
              </w:rPr>
              <w:t>rodiklių</w:t>
            </w:r>
            <w:r w:rsidRPr="00EC247F">
              <w:rPr>
                <w:lang w:val="lt-LT"/>
              </w:rPr>
              <w:t>. Rodiklio augimas gali būti siejamas su keletu veiksnių, pavyzdžiui, augančia gyvenimo kokybe, gerėjančiomis sveikatos paslaugomis ir didėjančiu jų prieinamumu, sveikos gyvensenos populiarėjimu</w:t>
            </w:r>
            <w:r w:rsidR="007554D1" w:rsidRPr="00EC247F">
              <w:rPr>
                <w:rStyle w:val="FootnoteReference"/>
                <w:lang w:val="lt-LT"/>
              </w:rPr>
              <w:footnoteReference w:id="11"/>
            </w:r>
            <w:r w:rsidRPr="00EC247F">
              <w:rPr>
                <w:lang w:val="lt-LT"/>
              </w:rPr>
              <w:t>. Tačiau dėl visuomenėje egzistuojančios lyčių nelygybės teigiami pokyčiai pagal lytį pasiskirsto netolygiai. Moterys visoje Europoje gyvena ilgiau nei vyrai, o didžiausias skirtumas fiksuojamas Lietuvoje – 10,5 metai</w:t>
            </w:r>
            <w:r w:rsidR="00C80298" w:rsidRPr="00EC247F">
              <w:rPr>
                <w:lang w:val="lt-LT"/>
              </w:rPr>
              <w:t xml:space="preserve"> (2015 m. duomenimis)</w:t>
            </w:r>
            <w:r w:rsidR="00C80298" w:rsidRPr="00EC247F">
              <w:rPr>
                <w:rStyle w:val="FootnoteReference"/>
                <w:lang w:val="lt-LT"/>
              </w:rPr>
              <w:footnoteReference w:id="12"/>
            </w:r>
            <w:r w:rsidR="00C80298" w:rsidRPr="00EC247F">
              <w:rPr>
                <w:lang w:val="lt-LT"/>
              </w:rPr>
              <w:t>.</w:t>
            </w:r>
            <w:r w:rsidRPr="00EC247F">
              <w:rPr>
                <w:lang w:val="lt-LT"/>
              </w:rPr>
              <w:t xml:space="preserve"> Šis rodiklis padeda įvertinti, kaip šalies mastu nustatyti vidutinės tikėtinos gyvenimo trukmės skirtumai pagal lytį atsispindi savivaldybių lygmenyje.   </w:t>
            </w:r>
          </w:p>
          <w:p w14:paraId="2FE0F0BB" w14:textId="77777777" w:rsidR="00C21ADE" w:rsidRPr="00EC247F" w:rsidRDefault="00C21ADE" w:rsidP="00956552">
            <w:pPr>
              <w:rPr>
                <w:lang w:val="lt-LT"/>
              </w:rPr>
            </w:pPr>
          </w:p>
          <w:p w14:paraId="637FEFDA" w14:textId="18E035CD" w:rsidR="00C21ADE" w:rsidRPr="00EC247F" w:rsidRDefault="00C21ADE" w:rsidP="005A30D0">
            <w:pPr>
              <w:rPr>
                <w:lang w:val="lt-LT"/>
              </w:rPr>
            </w:pPr>
            <w:r w:rsidRPr="00702435">
              <w:rPr>
                <w:b/>
                <w:i/>
                <w:lang w:val="lt-LT"/>
              </w:rPr>
              <w:t>Vidutinė tikėtina gyvenimo trukmė</w:t>
            </w:r>
            <w:r w:rsidRPr="00702435">
              <w:rPr>
                <w:i/>
                <w:lang w:val="lt-LT"/>
              </w:rPr>
              <w:t xml:space="preserve"> yra tikimybinis rodiklis, parodantis, kiek vidutiniškai metų gyvens kiekvienas gimęs arba sulaukęs tam tikro amžiaus žmogus, jeigu visą būsimą tiriamos kartos gyvenimą mirtingumo lygis kiekvienoje gyventojų amžiaus grupėje liks nepakitęs</w:t>
            </w:r>
            <w:r w:rsidR="005A30D0" w:rsidRPr="00EC247F">
              <w:rPr>
                <w:rStyle w:val="FootnoteReference"/>
                <w:lang w:val="lt-LT"/>
              </w:rPr>
              <w:footnoteReference w:id="13"/>
            </w:r>
            <w:r w:rsidRPr="00EC247F">
              <w:rPr>
                <w:lang w:val="lt-LT"/>
              </w:rPr>
              <w:t>.</w:t>
            </w:r>
          </w:p>
        </w:tc>
      </w:tr>
      <w:tr w:rsidR="00C21ADE" w:rsidRPr="00485D1C" w14:paraId="34249BD0" w14:textId="77777777" w:rsidTr="00AD1B26">
        <w:trPr>
          <w:jc w:val="center"/>
        </w:trPr>
        <w:tc>
          <w:tcPr>
            <w:tcW w:w="570" w:type="dxa"/>
          </w:tcPr>
          <w:p w14:paraId="2293E7EA" w14:textId="77777777" w:rsidR="00C21ADE" w:rsidRPr="00EC247F" w:rsidRDefault="00C21ADE" w:rsidP="00695B8A">
            <w:pPr>
              <w:rPr>
                <w:lang w:val="lt-LT"/>
              </w:rPr>
            </w:pPr>
            <w:r w:rsidRPr="00EC247F">
              <w:rPr>
                <w:lang w:val="lt-LT"/>
              </w:rPr>
              <w:t>7.</w:t>
            </w:r>
          </w:p>
        </w:tc>
        <w:tc>
          <w:tcPr>
            <w:tcW w:w="3115" w:type="dxa"/>
          </w:tcPr>
          <w:p w14:paraId="1F34C417" w14:textId="77777777" w:rsidR="00C21ADE" w:rsidRPr="00EC247F" w:rsidRDefault="00C21ADE" w:rsidP="00695B8A">
            <w:pPr>
              <w:rPr>
                <w:b/>
                <w:lang w:val="lt-LT"/>
              </w:rPr>
            </w:pPr>
            <w:r w:rsidRPr="00EC247F">
              <w:rPr>
                <w:lang w:val="lt-LT"/>
              </w:rPr>
              <w:t>Paauglėms motinoms gimusių vaikų skaičius, tenkantis 1 tūkst. atitinkamo amžiaus moterų</w:t>
            </w:r>
          </w:p>
        </w:tc>
        <w:tc>
          <w:tcPr>
            <w:tcW w:w="2340" w:type="dxa"/>
          </w:tcPr>
          <w:p w14:paraId="46537627" w14:textId="77777777" w:rsidR="00C21ADE" w:rsidRPr="00EC247F" w:rsidRDefault="00C21ADE" w:rsidP="00695B8A">
            <w:pPr>
              <w:rPr>
                <w:lang w:val="lt-LT"/>
              </w:rPr>
            </w:pPr>
            <w:r w:rsidRPr="00EC247F">
              <w:rPr>
                <w:lang w:val="lt-LT"/>
              </w:rPr>
              <w:t>Motinų amžius (15-17; 18-19; 15–19)</w:t>
            </w:r>
          </w:p>
          <w:p w14:paraId="0AE8A12B" w14:textId="77777777" w:rsidR="00C21ADE" w:rsidRPr="00EC247F" w:rsidRDefault="00C21ADE" w:rsidP="00695B8A">
            <w:pPr>
              <w:rPr>
                <w:lang w:val="lt-LT"/>
              </w:rPr>
            </w:pPr>
            <w:r w:rsidRPr="00EC247F">
              <w:rPr>
                <w:lang w:val="lt-LT"/>
              </w:rPr>
              <w:t>Savivaldybės</w:t>
            </w:r>
          </w:p>
        </w:tc>
        <w:tc>
          <w:tcPr>
            <w:tcW w:w="1727" w:type="dxa"/>
          </w:tcPr>
          <w:p w14:paraId="197BB0C9" w14:textId="4C43588B" w:rsidR="00C21ADE" w:rsidRPr="00EC247F" w:rsidRDefault="00922BBF" w:rsidP="00695B8A">
            <w:pPr>
              <w:rPr>
                <w:lang w:val="lt-LT"/>
              </w:rPr>
            </w:pPr>
            <w:r>
              <w:rPr>
                <w:lang w:val="lt-LT"/>
              </w:rPr>
              <w:t xml:space="preserve">Dalinai skelbiama (nėra pjūvio pagal savivaldybes, amžiaus grupę </w:t>
            </w:r>
            <w:r>
              <w:rPr>
                <w:lang w:val="lt-LT"/>
              </w:rPr>
              <w:lastRenderedPageBreak/>
              <w:t>15-19)</w:t>
            </w:r>
          </w:p>
        </w:tc>
        <w:tc>
          <w:tcPr>
            <w:tcW w:w="1243" w:type="dxa"/>
            <w:gridSpan w:val="2"/>
          </w:tcPr>
          <w:p w14:paraId="3939D168" w14:textId="77777777" w:rsidR="00C21ADE" w:rsidRPr="00EC247F" w:rsidRDefault="00C21ADE" w:rsidP="00695B8A">
            <w:pPr>
              <w:rPr>
                <w:lang w:val="lt-LT"/>
              </w:rPr>
            </w:pPr>
            <w:r w:rsidRPr="00EC247F">
              <w:rPr>
                <w:lang w:val="lt-LT"/>
              </w:rPr>
              <w:lastRenderedPageBreak/>
              <w:t>LSD</w:t>
            </w:r>
          </w:p>
        </w:tc>
        <w:tc>
          <w:tcPr>
            <w:tcW w:w="6750" w:type="dxa"/>
          </w:tcPr>
          <w:p w14:paraId="1E1A2984" w14:textId="196DEA80" w:rsidR="001D6A08" w:rsidRPr="00EC247F" w:rsidRDefault="009E3BA1" w:rsidP="00B65405">
            <w:pPr>
              <w:rPr>
                <w:lang w:val="lt-LT"/>
              </w:rPr>
            </w:pPr>
            <w:r w:rsidRPr="00EC247F">
              <w:rPr>
                <w:lang w:val="lt-LT"/>
              </w:rPr>
              <w:t xml:space="preserve">Vaikų susilaukimas jaunesniame nei 20 metų amžiuje siejamas su daugeliu neigiamų socialinių, ekonominių, medicininių pasekmių tiek </w:t>
            </w:r>
            <w:r w:rsidR="00AA2A94" w:rsidRPr="00EC247F">
              <w:rPr>
                <w:lang w:val="lt-LT"/>
              </w:rPr>
              <w:t>motinai</w:t>
            </w:r>
            <w:r w:rsidRPr="00EC247F">
              <w:rPr>
                <w:lang w:val="lt-LT"/>
              </w:rPr>
              <w:t xml:space="preserve">, tiek kūdikiui. </w:t>
            </w:r>
            <w:r w:rsidR="001D6A08" w:rsidRPr="00EC247F">
              <w:rPr>
                <w:lang w:val="lt-LT"/>
              </w:rPr>
              <w:t xml:space="preserve">Nėščios paauglės dažniau nei vyresnio amžiaus gimdyvės patiria persileidimą, </w:t>
            </w:r>
            <w:proofErr w:type="spellStart"/>
            <w:r w:rsidR="001D6A08" w:rsidRPr="00EC247F">
              <w:rPr>
                <w:lang w:val="lt-LT"/>
              </w:rPr>
              <w:t>neonatalinę</w:t>
            </w:r>
            <w:proofErr w:type="spellEnd"/>
            <w:r w:rsidR="001D6A08" w:rsidRPr="00EC247F">
              <w:rPr>
                <w:lang w:val="lt-LT"/>
              </w:rPr>
              <w:t xml:space="preserve"> kūdikio mirtį, pagimdo negyvą vaisių</w:t>
            </w:r>
            <w:r w:rsidRPr="00EC247F">
              <w:rPr>
                <w:rStyle w:val="FootnoteReference"/>
                <w:lang w:val="lt-LT"/>
              </w:rPr>
              <w:footnoteReference w:id="14"/>
            </w:r>
            <w:r w:rsidRPr="00EC247F">
              <w:rPr>
                <w:lang w:val="lt-LT"/>
              </w:rPr>
              <w:t>; jų kūdikiai pasižymi mažesniu svoriu ir didesniu sergamumu nei vyresnių motinų kūdikiai</w:t>
            </w:r>
            <w:r w:rsidRPr="00EC247F">
              <w:rPr>
                <w:rStyle w:val="FootnoteReference"/>
                <w:lang w:val="lt-LT"/>
              </w:rPr>
              <w:footnoteReference w:id="15"/>
            </w:r>
            <w:r w:rsidRPr="00EC247F">
              <w:rPr>
                <w:lang w:val="lt-LT"/>
              </w:rPr>
              <w:t>,</w:t>
            </w:r>
            <w:r w:rsidRPr="00EC247F">
              <w:rPr>
                <w:rStyle w:val="FootnoteReference"/>
                <w:lang w:val="lt-LT"/>
              </w:rPr>
              <w:footnoteReference w:id="16"/>
            </w:r>
            <w:r w:rsidR="001D6A08" w:rsidRPr="00EC247F">
              <w:rPr>
                <w:lang w:val="lt-LT"/>
              </w:rPr>
              <w:t xml:space="preserve">. Merginos, </w:t>
            </w:r>
            <w:r w:rsidR="001D6A08" w:rsidRPr="00EC247F">
              <w:rPr>
                <w:lang w:val="lt-LT"/>
              </w:rPr>
              <w:lastRenderedPageBreak/>
              <w:t>kurios pirmo vaiko susilaukia būdamos jaunesnės nei 20 metų, taip pat neretai iškrenta iš ugdymo sistemos, rečiau įgyja vidurinį ar aukštąjį išsilavinimą, todėl dažniau susiduria su prasta ekonomine situacija, skurdu</w:t>
            </w:r>
            <w:r w:rsidRPr="00EC247F">
              <w:rPr>
                <w:rStyle w:val="FootnoteReference"/>
                <w:lang w:val="lt-LT"/>
              </w:rPr>
              <w:footnoteReference w:id="17"/>
            </w:r>
            <w:r w:rsidR="001D6A08" w:rsidRPr="00EC247F">
              <w:rPr>
                <w:lang w:val="lt-LT"/>
              </w:rPr>
              <w:t xml:space="preserve">. </w:t>
            </w:r>
            <w:r w:rsidR="000623CD" w:rsidRPr="00EC247F">
              <w:rPr>
                <w:lang w:val="lt-LT"/>
              </w:rPr>
              <w:t xml:space="preserve">Kita vertus, šiuo metu vis dažniau pripažįstama, kad egzistuoja ir atvirkštinis ryšys – socialinė ar ekonominė atskirtis yra svarbus ankstyvo vaikų susilaukimo veiksnys. </w:t>
            </w:r>
            <w:r w:rsidR="001D6A08" w:rsidRPr="00EC247F">
              <w:rPr>
                <w:lang w:val="lt-LT"/>
              </w:rPr>
              <w:t xml:space="preserve">Dėl šių priežasčių </w:t>
            </w:r>
            <w:r w:rsidR="000623CD" w:rsidRPr="00EC247F">
              <w:rPr>
                <w:lang w:val="lt-LT"/>
              </w:rPr>
              <w:t xml:space="preserve">rodiklis aktualus </w:t>
            </w:r>
            <w:r w:rsidR="001D6A08" w:rsidRPr="00EC247F">
              <w:rPr>
                <w:lang w:val="lt-LT"/>
              </w:rPr>
              <w:t>visuomenės sveikatos ir gerovės požiūriu</w:t>
            </w:r>
            <w:r w:rsidR="000623CD" w:rsidRPr="00EC247F">
              <w:rPr>
                <w:lang w:val="lt-LT"/>
              </w:rPr>
              <w:t>, atspindi socialines ir ekonomines nelygybes tarp savivaldybių</w:t>
            </w:r>
            <w:r w:rsidR="001D6A08" w:rsidRPr="00EC247F">
              <w:rPr>
                <w:lang w:val="lt-LT"/>
              </w:rPr>
              <w:t xml:space="preserve">. </w:t>
            </w:r>
          </w:p>
          <w:p w14:paraId="6CB780CC" w14:textId="77777777" w:rsidR="001D6A08" w:rsidRPr="00EC247F" w:rsidRDefault="001D6A08" w:rsidP="00B65405">
            <w:pPr>
              <w:rPr>
                <w:lang w:val="lt-LT"/>
              </w:rPr>
            </w:pPr>
          </w:p>
          <w:p w14:paraId="7A235A12" w14:textId="32F44FD5" w:rsidR="00B65405" w:rsidRPr="00EC247F" w:rsidRDefault="00B65405" w:rsidP="00B65405">
            <w:pPr>
              <w:rPr>
                <w:lang w:val="lt-LT"/>
              </w:rPr>
            </w:pPr>
            <w:r w:rsidRPr="00EC247F">
              <w:rPr>
                <w:lang w:val="lt-LT"/>
              </w:rPr>
              <w:t>Rodiklis nurodo, kiek gyvų kūdikių gimė 1000-čiui 15-19 metų amžiaus</w:t>
            </w:r>
            <w:r w:rsidRPr="00EC247F">
              <w:rPr>
                <w:vertAlign w:val="superscript"/>
                <w:lang w:val="lt-LT"/>
              </w:rPr>
              <w:footnoteReference w:id="18"/>
            </w:r>
            <w:r w:rsidRPr="00EC247F">
              <w:rPr>
                <w:lang w:val="lt-LT"/>
              </w:rPr>
              <w:t xml:space="preserve"> moterų</w:t>
            </w:r>
            <w:r w:rsidR="009E3BA1" w:rsidRPr="00EC247F">
              <w:rPr>
                <w:rStyle w:val="FootnoteReference"/>
                <w:lang w:val="lt-LT"/>
              </w:rPr>
              <w:footnoteReference w:id="19"/>
            </w:r>
            <w:r w:rsidRPr="00EC247F">
              <w:rPr>
                <w:lang w:val="lt-LT"/>
              </w:rPr>
              <w:t xml:space="preserve">. Apskaičiuojamas gyvų gimusių kūdikių moterims iki 19 metų (imtinai) skaičių padalinus iš vidutinio metinio 15-19 metų amžiaus moterų skaičiaus ir padauginus iš 1000. Analizuojant gimstamumą paauglystėje, jei turima pakankamai duomenų, rodiklis dažnai „skaidomas“ į dvi amžiaus grupes – 15-17 metų ir 18-19 metų. Tokiu būdu įvertinama jauniausio amžiaus merginų, kurioms </w:t>
            </w:r>
            <w:r w:rsidR="000E7665" w:rsidRPr="00EC247F">
              <w:rPr>
                <w:lang w:val="lt-LT"/>
              </w:rPr>
              <w:t>vaikų susilaukimas</w:t>
            </w:r>
            <w:r w:rsidRPr="00EC247F">
              <w:rPr>
                <w:lang w:val="lt-LT"/>
              </w:rPr>
              <w:t xml:space="preserve"> paauglystėje gali sukelti daugiausia</w:t>
            </w:r>
            <w:r w:rsidR="00945E7E">
              <w:rPr>
                <w:lang w:val="lt-LT"/>
              </w:rPr>
              <w:t xml:space="preserve">i neigiamų pasekmių, padėtis ir </w:t>
            </w:r>
            <w:r w:rsidR="00945E7E" w:rsidRPr="00945E7E">
              <w:rPr>
                <w:lang w:val="lt-LT"/>
              </w:rPr>
              <w:t>vyr</w:t>
            </w:r>
            <w:r w:rsidR="00945E7E">
              <w:rPr>
                <w:lang w:val="lt-LT"/>
              </w:rPr>
              <w:t>esnio amžiaus merginų grupės</w:t>
            </w:r>
            <w:r w:rsidR="00945E7E" w:rsidRPr="00EC247F">
              <w:rPr>
                <w:lang w:val="lt-LT"/>
              </w:rPr>
              <w:t xml:space="preserve"> </w:t>
            </w:r>
            <w:r w:rsidRPr="00EC247F">
              <w:rPr>
                <w:lang w:val="lt-LT"/>
              </w:rPr>
              <w:t>situacija.</w:t>
            </w:r>
            <w:r w:rsidR="007D236C">
              <w:rPr>
                <w:lang w:val="lt-LT"/>
              </w:rPr>
              <w:t xml:space="preserve"> </w:t>
            </w:r>
          </w:p>
          <w:p w14:paraId="394355D5" w14:textId="77777777" w:rsidR="009F7CDE" w:rsidRPr="00EC247F" w:rsidRDefault="009F7CDE" w:rsidP="00B65405">
            <w:pPr>
              <w:rPr>
                <w:lang w:val="lt-LT"/>
              </w:rPr>
            </w:pPr>
          </w:p>
          <w:p w14:paraId="6740986E" w14:textId="5BF1B0D1" w:rsidR="00C21ADE" w:rsidRPr="00EC247F" w:rsidRDefault="009F7CDE" w:rsidP="001D6A08">
            <w:pPr>
              <w:rPr>
                <w:lang w:val="lt-LT"/>
              </w:rPr>
            </w:pPr>
            <w:r w:rsidRPr="00EC247F">
              <w:rPr>
                <w:lang w:val="lt-LT"/>
              </w:rPr>
              <w:t>Tarptautinės organizacijos šį rodiklį naudoja reprodukcinės sveikatos, lyčių lygybės padėčiai skirtingose šalyse įvertinti. 2000 m. Jungtinės Tautos priėmė „Tūksta</w:t>
            </w:r>
            <w:r w:rsidR="00235AC3">
              <w:rPr>
                <w:lang w:val="lt-LT"/>
              </w:rPr>
              <w:t>ntmečio deklaraciją“ ir nustatė</w:t>
            </w:r>
            <w:r w:rsidRPr="00EC247F">
              <w:rPr>
                <w:lang w:val="lt-LT"/>
              </w:rPr>
              <w:t xml:space="preserve"> „Tūkstantmečio raidos tikslus“. Šiame dokumente paauglių</w:t>
            </w:r>
            <w:r w:rsidR="00AA2A94" w:rsidRPr="00EC247F">
              <w:rPr>
                <w:lang w:val="lt-LT"/>
              </w:rPr>
              <w:t xml:space="preserve"> gimstamumo rodiklis nurodomas </w:t>
            </w:r>
            <w:r w:rsidRPr="00EC247F">
              <w:rPr>
                <w:lang w:val="lt-LT"/>
              </w:rPr>
              <w:t>kaip penktojo tikslo – gimdyvių sveikatos gerinimo – indikatorius</w:t>
            </w:r>
            <w:r w:rsidR="001D6A08" w:rsidRPr="00EC247F">
              <w:rPr>
                <w:rStyle w:val="FootnoteReference"/>
                <w:lang w:val="lt-LT"/>
              </w:rPr>
              <w:footnoteReference w:id="20"/>
            </w:r>
            <w:r w:rsidRPr="00EC247F">
              <w:rPr>
                <w:lang w:val="lt-LT"/>
              </w:rPr>
              <w:t xml:space="preserve">. 2015 m. Jungtinių Tautų Europos Ekonominė Komisija šį rodiklį įtraukė į bendrą lyčių lygybės indikatorių sąrašą, o Jungtinių Tautų Statistikos komisijos </w:t>
            </w:r>
            <w:r w:rsidRPr="00EC247F">
              <w:rPr>
                <w:lang w:val="lt-LT"/>
              </w:rPr>
              <w:lastRenderedPageBreak/>
              <w:t>Lyčių statistikos ekspertų grupė – į Pasaulinį minimalų rodiklių sąrašą Moters ir mergaitės žmogaus teisių srityje</w:t>
            </w:r>
            <w:r w:rsidR="001D6A08" w:rsidRPr="00EC247F">
              <w:rPr>
                <w:rStyle w:val="FootnoteReference"/>
                <w:lang w:val="lt-LT"/>
              </w:rPr>
              <w:footnoteReference w:id="21"/>
            </w:r>
            <w:r w:rsidRPr="00EC247F">
              <w:rPr>
                <w:lang w:val="lt-LT"/>
              </w:rPr>
              <w:t xml:space="preserve">. </w:t>
            </w:r>
          </w:p>
        </w:tc>
      </w:tr>
      <w:tr w:rsidR="007B23D2" w:rsidRPr="00EC247F" w14:paraId="1D9A9563" w14:textId="77777777" w:rsidTr="00AD1B26">
        <w:trPr>
          <w:jc w:val="center"/>
        </w:trPr>
        <w:tc>
          <w:tcPr>
            <w:tcW w:w="15745" w:type="dxa"/>
            <w:gridSpan w:val="7"/>
          </w:tcPr>
          <w:p w14:paraId="7B7A4AF5" w14:textId="3ECE16E5" w:rsidR="007B23D2" w:rsidRPr="00EC247F" w:rsidRDefault="007B23D2" w:rsidP="00A2149A">
            <w:pPr>
              <w:keepNext/>
              <w:jc w:val="center"/>
              <w:rPr>
                <w:b/>
                <w:lang w:val="lt-LT"/>
              </w:rPr>
            </w:pPr>
            <w:r w:rsidRPr="00EC247F">
              <w:rPr>
                <w:b/>
                <w:lang w:val="lt-LT"/>
              </w:rPr>
              <w:lastRenderedPageBreak/>
              <w:t>Socialinė ir ekonominė padėtis</w:t>
            </w:r>
          </w:p>
        </w:tc>
      </w:tr>
      <w:tr w:rsidR="00A974AE" w:rsidRPr="00EC247F" w14:paraId="4C5EA74B" w14:textId="77777777" w:rsidTr="00AD1B26">
        <w:trPr>
          <w:jc w:val="center"/>
        </w:trPr>
        <w:tc>
          <w:tcPr>
            <w:tcW w:w="570" w:type="dxa"/>
          </w:tcPr>
          <w:p w14:paraId="4E61BE85" w14:textId="77777777" w:rsidR="00A974AE" w:rsidRPr="00EC247F" w:rsidRDefault="00A974AE" w:rsidP="00A2149A">
            <w:pPr>
              <w:keepNext/>
              <w:rPr>
                <w:b/>
                <w:lang w:val="lt-LT"/>
              </w:rPr>
            </w:pPr>
          </w:p>
        </w:tc>
        <w:tc>
          <w:tcPr>
            <w:tcW w:w="15175" w:type="dxa"/>
            <w:gridSpan w:val="6"/>
          </w:tcPr>
          <w:p w14:paraId="16D6E011" w14:textId="77777777" w:rsidR="00A974AE" w:rsidRPr="00EC247F" w:rsidRDefault="00A974AE" w:rsidP="00400FFF">
            <w:pPr>
              <w:keepNext/>
              <w:jc w:val="center"/>
              <w:rPr>
                <w:b/>
                <w:lang w:val="lt-LT"/>
              </w:rPr>
            </w:pPr>
            <w:r w:rsidRPr="00EC247F">
              <w:rPr>
                <w:b/>
                <w:lang w:val="lt-LT"/>
              </w:rPr>
              <w:t>Išsilavinimas</w:t>
            </w:r>
          </w:p>
        </w:tc>
      </w:tr>
      <w:tr w:rsidR="00C21ADE" w:rsidRPr="00485D1C" w14:paraId="3387AC85" w14:textId="77777777" w:rsidTr="00AD1B26">
        <w:trPr>
          <w:jc w:val="center"/>
        </w:trPr>
        <w:tc>
          <w:tcPr>
            <w:tcW w:w="570" w:type="dxa"/>
            <w:tcBorders>
              <w:bottom w:val="single" w:sz="4" w:space="0" w:color="auto"/>
            </w:tcBorders>
            <w:shd w:val="clear" w:color="auto" w:fill="FFFFFF" w:themeFill="background1"/>
          </w:tcPr>
          <w:p w14:paraId="6644CE26" w14:textId="77777777" w:rsidR="00C21ADE" w:rsidRPr="00EC247F" w:rsidRDefault="00C21ADE" w:rsidP="009539A1">
            <w:pPr>
              <w:rPr>
                <w:lang w:val="lt-LT"/>
              </w:rPr>
            </w:pPr>
            <w:r w:rsidRPr="00EC247F">
              <w:rPr>
                <w:lang w:val="lt-LT"/>
              </w:rPr>
              <w:t>8.</w:t>
            </w:r>
          </w:p>
        </w:tc>
        <w:tc>
          <w:tcPr>
            <w:tcW w:w="3115" w:type="dxa"/>
            <w:tcBorders>
              <w:bottom w:val="single" w:sz="4" w:space="0" w:color="auto"/>
            </w:tcBorders>
            <w:shd w:val="clear" w:color="auto" w:fill="FFFFFF" w:themeFill="background1"/>
          </w:tcPr>
          <w:p w14:paraId="78A562D7" w14:textId="77777777" w:rsidR="00C21ADE" w:rsidRPr="00EC247F" w:rsidRDefault="00C21ADE" w:rsidP="009539A1">
            <w:pPr>
              <w:rPr>
                <w:lang w:val="lt-LT"/>
              </w:rPr>
            </w:pPr>
            <w:r w:rsidRPr="00EC247F">
              <w:rPr>
                <w:lang w:val="lt-LT"/>
              </w:rPr>
              <w:t xml:space="preserve">Gyventojų išsilavinimas </w:t>
            </w:r>
          </w:p>
        </w:tc>
        <w:tc>
          <w:tcPr>
            <w:tcW w:w="2340" w:type="dxa"/>
          </w:tcPr>
          <w:p w14:paraId="7BCDC68A" w14:textId="77777777" w:rsidR="00C21ADE" w:rsidRPr="00EC247F" w:rsidRDefault="00C21ADE" w:rsidP="009539A1">
            <w:pPr>
              <w:rPr>
                <w:lang w:val="lt-LT"/>
              </w:rPr>
            </w:pPr>
            <w:r w:rsidRPr="00EC247F">
              <w:rPr>
                <w:lang w:val="lt-LT"/>
              </w:rPr>
              <w:t>Lytis</w:t>
            </w:r>
          </w:p>
          <w:p w14:paraId="2046A6D4" w14:textId="77777777" w:rsidR="00C21ADE" w:rsidRPr="00EC247F" w:rsidRDefault="00C21ADE" w:rsidP="009539A1">
            <w:pPr>
              <w:rPr>
                <w:lang w:val="lt-LT"/>
              </w:rPr>
            </w:pPr>
            <w:r w:rsidRPr="00EC247F">
              <w:rPr>
                <w:lang w:val="lt-LT"/>
              </w:rPr>
              <w:t>Savivaldybės</w:t>
            </w:r>
          </w:p>
          <w:p w14:paraId="517ACEE2" w14:textId="77777777" w:rsidR="00C21ADE" w:rsidRPr="00EC247F" w:rsidRDefault="00C21ADE" w:rsidP="00695B8A">
            <w:pPr>
              <w:rPr>
                <w:lang w:val="lt-LT"/>
              </w:rPr>
            </w:pPr>
            <w:r w:rsidRPr="00EC247F">
              <w:rPr>
                <w:lang w:val="lt-LT"/>
              </w:rPr>
              <w:t>Amžius (25–64;</w:t>
            </w:r>
          </w:p>
          <w:p w14:paraId="6F5F92F5" w14:textId="77777777" w:rsidR="00C21ADE" w:rsidRPr="00EC247F" w:rsidRDefault="00C21ADE" w:rsidP="00695B8A">
            <w:pPr>
              <w:rPr>
                <w:lang w:val="lt-LT"/>
              </w:rPr>
            </w:pPr>
            <w:r w:rsidRPr="00EC247F">
              <w:rPr>
                <w:lang w:val="lt-LT"/>
              </w:rPr>
              <w:t>25-34; 35-44; 45-54; 55-64)</w:t>
            </w:r>
          </w:p>
          <w:p w14:paraId="4095BF8F" w14:textId="77777777" w:rsidR="00C21ADE" w:rsidRPr="00EC247F" w:rsidRDefault="00C21ADE" w:rsidP="00695B8A">
            <w:pPr>
              <w:rPr>
                <w:lang w:val="lt-LT"/>
              </w:rPr>
            </w:pPr>
          </w:p>
          <w:p w14:paraId="4BE2A2D8" w14:textId="77777777" w:rsidR="00C21ADE" w:rsidRPr="00EC247F" w:rsidRDefault="00C21ADE" w:rsidP="00695B8A">
            <w:pPr>
              <w:rPr>
                <w:lang w:val="lt-LT"/>
              </w:rPr>
            </w:pPr>
            <w:r w:rsidRPr="00EC247F">
              <w:rPr>
                <w:lang w:val="lt-LT"/>
              </w:rPr>
              <w:t xml:space="preserve">Kategorijos: </w:t>
            </w:r>
          </w:p>
          <w:p w14:paraId="508E26C3" w14:textId="77777777" w:rsidR="00C21ADE" w:rsidRPr="00EC247F" w:rsidRDefault="00C21ADE" w:rsidP="00695B8A">
            <w:pPr>
              <w:rPr>
                <w:lang w:val="lt-LT"/>
              </w:rPr>
            </w:pPr>
            <w:r w:rsidRPr="00EC247F">
              <w:rPr>
                <w:lang w:val="lt-LT"/>
              </w:rPr>
              <w:t>Aukštasis; Aukštesnysis ir specialusis vidurinis;</w:t>
            </w:r>
          </w:p>
          <w:p w14:paraId="7871EF10" w14:textId="77777777" w:rsidR="00C21ADE" w:rsidRPr="00EC247F" w:rsidRDefault="00C21ADE" w:rsidP="00695B8A">
            <w:pPr>
              <w:rPr>
                <w:lang w:val="lt-LT"/>
              </w:rPr>
            </w:pPr>
            <w:r w:rsidRPr="00EC247F">
              <w:rPr>
                <w:lang w:val="lt-LT"/>
              </w:rPr>
              <w:t>Vidurinis;</w:t>
            </w:r>
          </w:p>
          <w:p w14:paraId="45ED2C0D" w14:textId="77777777" w:rsidR="00C21ADE" w:rsidRPr="00EC247F" w:rsidRDefault="00C21ADE" w:rsidP="00695B8A">
            <w:pPr>
              <w:rPr>
                <w:lang w:val="lt-LT"/>
              </w:rPr>
            </w:pPr>
            <w:r w:rsidRPr="00EC247F">
              <w:rPr>
                <w:lang w:val="lt-LT"/>
              </w:rPr>
              <w:t>Pagrindinis;</w:t>
            </w:r>
          </w:p>
          <w:p w14:paraId="36BFD6A6" w14:textId="36B6E797" w:rsidR="00C21ADE" w:rsidRPr="00EC247F" w:rsidRDefault="00C21ADE" w:rsidP="00695B8A">
            <w:pPr>
              <w:rPr>
                <w:lang w:val="lt-LT"/>
              </w:rPr>
            </w:pPr>
            <w:r w:rsidRPr="00EC247F">
              <w:rPr>
                <w:lang w:val="lt-LT"/>
              </w:rPr>
              <w:t>Pradinis</w:t>
            </w:r>
            <w:r w:rsidR="00EB109E">
              <w:rPr>
                <w:lang w:val="lt-LT"/>
              </w:rPr>
              <w:t xml:space="preserve"> </w:t>
            </w:r>
          </w:p>
        </w:tc>
        <w:tc>
          <w:tcPr>
            <w:tcW w:w="1727" w:type="dxa"/>
          </w:tcPr>
          <w:p w14:paraId="789A75AB" w14:textId="77777777" w:rsidR="00C21ADE" w:rsidRPr="00EC247F" w:rsidRDefault="00C21ADE" w:rsidP="00695B8A">
            <w:pPr>
              <w:rPr>
                <w:lang w:val="lt-LT"/>
              </w:rPr>
            </w:pPr>
            <w:r w:rsidRPr="00EC247F">
              <w:rPr>
                <w:lang w:val="lt-LT"/>
              </w:rPr>
              <w:t>2001; 2011</w:t>
            </w:r>
          </w:p>
          <w:p w14:paraId="58A11961" w14:textId="3E8554AC" w:rsidR="00C21ADE" w:rsidRPr="00EC247F" w:rsidRDefault="00655D3D" w:rsidP="00695B8A">
            <w:pPr>
              <w:rPr>
                <w:lang w:val="lt-LT"/>
              </w:rPr>
            </w:pPr>
            <w:r w:rsidRPr="00655D3D">
              <w:rPr>
                <w:lang w:val="lt-LT"/>
              </w:rPr>
              <w:t>Dalinai skelbiama (nėra pjūvio pagal savivaldybes</w:t>
            </w:r>
            <w:r>
              <w:rPr>
                <w:lang w:val="lt-LT"/>
              </w:rPr>
              <w:t xml:space="preserve"> (tik apskritys)</w:t>
            </w:r>
            <w:r w:rsidRPr="00655D3D">
              <w:rPr>
                <w:lang w:val="lt-LT"/>
              </w:rPr>
              <w:t>, skelbiami tik absoliutūs sk.)</w:t>
            </w:r>
          </w:p>
        </w:tc>
        <w:tc>
          <w:tcPr>
            <w:tcW w:w="1243" w:type="dxa"/>
            <w:gridSpan w:val="2"/>
          </w:tcPr>
          <w:p w14:paraId="37578C9C" w14:textId="77777777" w:rsidR="00C21ADE" w:rsidRPr="00EC247F" w:rsidRDefault="00C21ADE" w:rsidP="00695B8A">
            <w:pPr>
              <w:rPr>
                <w:lang w:val="lt-LT"/>
              </w:rPr>
            </w:pPr>
            <w:r w:rsidRPr="00EC247F">
              <w:rPr>
                <w:lang w:val="lt-LT"/>
              </w:rPr>
              <w:t>LSD</w:t>
            </w:r>
          </w:p>
        </w:tc>
        <w:tc>
          <w:tcPr>
            <w:tcW w:w="6750" w:type="dxa"/>
          </w:tcPr>
          <w:p w14:paraId="34BA0581" w14:textId="2395DBCC" w:rsidR="00C21ADE" w:rsidRPr="00EC247F" w:rsidRDefault="00C21ADE" w:rsidP="00695B8A">
            <w:pPr>
              <w:rPr>
                <w:lang w:val="lt-LT"/>
              </w:rPr>
            </w:pPr>
            <w:r w:rsidRPr="00EC247F">
              <w:rPr>
                <w:lang w:val="lt-LT"/>
              </w:rPr>
              <w:t xml:space="preserve">Lyčių nelygybė išsilavinimo srityje gali neigiamai atsiliepti ekonomikos augimui ir socialinei </w:t>
            </w:r>
            <w:proofErr w:type="spellStart"/>
            <w:r w:rsidRPr="00EC247F">
              <w:rPr>
                <w:lang w:val="lt-LT"/>
              </w:rPr>
              <w:t>įtraukčiai</w:t>
            </w:r>
            <w:proofErr w:type="spellEnd"/>
            <w:r w:rsidR="008144F5" w:rsidRPr="00EC247F">
              <w:rPr>
                <w:rStyle w:val="FootnoteReference"/>
                <w:lang w:val="lt-LT"/>
              </w:rPr>
              <w:footnoteReference w:id="22"/>
            </w:r>
            <w:r w:rsidRPr="00EC247F">
              <w:rPr>
                <w:lang w:val="lt-LT"/>
              </w:rPr>
              <w:t xml:space="preserve">. Šis rodiklis leidžia įvertinti, kokia gyventojų išsilavinimo struktūra skirtingose savivaldybėse pagal lytį ir amžių. </w:t>
            </w:r>
          </w:p>
          <w:p w14:paraId="5F71EE9E" w14:textId="77777777" w:rsidR="00C21ADE" w:rsidRPr="00EC247F" w:rsidRDefault="00C21ADE" w:rsidP="00695B8A">
            <w:pPr>
              <w:rPr>
                <w:lang w:val="lt-LT"/>
              </w:rPr>
            </w:pPr>
          </w:p>
          <w:p w14:paraId="30DC0B8D" w14:textId="435CAE4C" w:rsidR="00C21ADE" w:rsidRPr="00EC247F" w:rsidRDefault="00C21ADE" w:rsidP="00695B8A">
            <w:pPr>
              <w:rPr>
                <w:lang w:val="lt-LT"/>
              </w:rPr>
            </w:pPr>
            <w:r w:rsidRPr="00EC247F">
              <w:rPr>
                <w:lang w:val="lt-LT"/>
              </w:rPr>
              <w:t xml:space="preserve">Procentinė dalis įgijusių tam tikrą išsilavinimą nuo atitinkamo amžiaus </w:t>
            </w:r>
            <w:r w:rsidR="009574D7">
              <w:rPr>
                <w:lang w:val="lt-LT"/>
              </w:rPr>
              <w:t>moterų</w:t>
            </w:r>
            <w:r w:rsidRPr="00EC247F">
              <w:rPr>
                <w:lang w:val="lt-LT"/>
              </w:rPr>
              <w:t xml:space="preserve"> ir </w:t>
            </w:r>
            <w:r w:rsidR="009574D7">
              <w:rPr>
                <w:lang w:val="lt-LT"/>
              </w:rPr>
              <w:t>vyrų</w:t>
            </w:r>
            <w:r w:rsidRPr="00EC247F">
              <w:rPr>
                <w:lang w:val="lt-LT"/>
              </w:rPr>
              <w:t xml:space="preserve"> konkrečioje savivaldybėje. Asmens išsilavinimo lygis apibrėžiamas kaip aukščiausias įgytas išsilavinimas (baigtas universitetas, vidurinė mokykla, etc.).</w:t>
            </w:r>
          </w:p>
          <w:p w14:paraId="04B3E622" w14:textId="77777777" w:rsidR="00C21ADE" w:rsidRPr="00EC247F" w:rsidRDefault="00C21ADE" w:rsidP="00951B43">
            <w:pPr>
              <w:rPr>
                <w:lang w:val="lt-LT"/>
              </w:rPr>
            </w:pPr>
          </w:p>
          <w:p w14:paraId="04906BE4" w14:textId="77777777" w:rsidR="00C21ADE" w:rsidRPr="00EC247F" w:rsidRDefault="00C21ADE" w:rsidP="001A6BCC">
            <w:pPr>
              <w:rPr>
                <w:lang w:val="lt-LT"/>
              </w:rPr>
            </w:pPr>
            <w:r w:rsidRPr="00EC247F">
              <w:rPr>
                <w:lang w:val="lt-LT"/>
              </w:rPr>
              <w:t>Savivaldybių lygiu informacija apie gyventojų išsilavinimą gaunama tik iš Gyventojų ir būstų surašymo duomenų. Gyventojų surašymai vyksta kas dešimt metų, todėl naujausia prieinama informacija – 2011 metų.</w:t>
            </w:r>
          </w:p>
        </w:tc>
      </w:tr>
      <w:tr w:rsidR="00C21ADE" w:rsidRPr="00485D1C" w14:paraId="0F8A1EDC" w14:textId="77777777" w:rsidTr="00AD1B26">
        <w:trPr>
          <w:jc w:val="center"/>
        </w:trPr>
        <w:tc>
          <w:tcPr>
            <w:tcW w:w="570" w:type="dxa"/>
            <w:shd w:val="clear" w:color="auto" w:fill="FFFFFF" w:themeFill="background1"/>
          </w:tcPr>
          <w:p w14:paraId="76F247F9" w14:textId="77777777" w:rsidR="00C21ADE" w:rsidRPr="00EC247F" w:rsidRDefault="00C21ADE" w:rsidP="00695B8A">
            <w:pPr>
              <w:rPr>
                <w:lang w:val="lt-LT"/>
              </w:rPr>
            </w:pPr>
            <w:r w:rsidRPr="00EC247F">
              <w:rPr>
                <w:lang w:val="lt-LT"/>
              </w:rPr>
              <w:t>9.</w:t>
            </w:r>
          </w:p>
        </w:tc>
        <w:tc>
          <w:tcPr>
            <w:tcW w:w="3115" w:type="dxa"/>
            <w:shd w:val="clear" w:color="auto" w:fill="FFFFFF" w:themeFill="background1"/>
          </w:tcPr>
          <w:p w14:paraId="225DA330" w14:textId="77777777" w:rsidR="001B0A1C" w:rsidRPr="00EC247F" w:rsidRDefault="00C21ADE" w:rsidP="00C6633A">
            <w:pPr>
              <w:rPr>
                <w:lang w:val="lt-LT"/>
              </w:rPr>
            </w:pPr>
            <w:r w:rsidRPr="00EC247F">
              <w:rPr>
                <w:lang w:val="lt-LT"/>
              </w:rPr>
              <w:t>Mokyklinio amžiaus vaikai, nesimokantys mokykloje</w:t>
            </w:r>
          </w:p>
          <w:p w14:paraId="47C01D9B" w14:textId="1DD88819" w:rsidR="00C21ADE" w:rsidRPr="00095A0E" w:rsidRDefault="00C21ADE" w:rsidP="00C6633A">
            <w:pPr>
              <w:rPr>
                <w:lang w:val="lt-LT"/>
              </w:rPr>
            </w:pPr>
          </w:p>
        </w:tc>
        <w:tc>
          <w:tcPr>
            <w:tcW w:w="2340" w:type="dxa"/>
          </w:tcPr>
          <w:p w14:paraId="303CB0C8" w14:textId="77777777" w:rsidR="00C21ADE" w:rsidRPr="00EC247F" w:rsidRDefault="00C21ADE" w:rsidP="00D76982">
            <w:pPr>
              <w:rPr>
                <w:lang w:val="lt-LT"/>
              </w:rPr>
            </w:pPr>
            <w:r w:rsidRPr="00EC247F">
              <w:rPr>
                <w:lang w:val="lt-LT"/>
              </w:rPr>
              <w:t>Lytis</w:t>
            </w:r>
          </w:p>
          <w:p w14:paraId="2356AA98" w14:textId="77777777" w:rsidR="00C21ADE" w:rsidRPr="00EC247F" w:rsidRDefault="00C21ADE" w:rsidP="00D76982">
            <w:pPr>
              <w:rPr>
                <w:lang w:val="lt-LT"/>
              </w:rPr>
            </w:pPr>
            <w:r w:rsidRPr="00EC247F">
              <w:rPr>
                <w:lang w:val="lt-LT"/>
              </w:rPr>
              <w:t>Savivaldybės</w:t>
            </w:r>
          </w:p>
          <w:p w14:paraId="07C7734D" w14:textId="77777777" w:rsidR="0076637B" w:rsidRPr="00EC247F" w:rsidRDefault="00C21ADE" w:rsidP="00D76982">
            <w:pPr>
              <w:rPr>
                <w:lang w:val="lt-LT"/>
              </w:rPr>
            </w:pPr>
            <w:r w:rsidRPr="00EC247F">
              <w:rPr>
                <w:lang w:val="lt-LT"/>
              </w:rPr>
              <w:t>Amžius (7–15)</w:t>
            </w:r>
          </w:p>
          <w:p w14:paraId="31F97E4A" w14:textId="77777777" w:rsidR="0076637B" w:rsidRPr="004C08A4" w:rsidRDefault="0076637B" w:rsidP="00D76982">
            <w:pPr>
              <w:rPr>
                <w:lang w:val="lt-LT"/>
              </w:rPr>
            </w:pPr>
            <w:r w:rsidRPr="004C08A4">
              <w:rPr>
                <w:lang w:val="lt-LT"/>
              </w:rPr>
              <w:t>Priežastis:</w:t>
            </w:r>
          </w:p>
          <w:p w14:paraId="470FBA66" w14:textId="77777777" w:rsidR="0076637B" w:rsidRPr="00095A0E" w:rsidRDefault="0076637B" w:rsidP="00095A0E">
            <w:pPr>
              <w:pStyle w:val="ListParagraph"/>
              <w:numPr>
                <w:ilvl w:val="0"/>
                <w:numId w:val="14"/>
              </w:numPr>
              <w:rPr>
                <w:lang w:val="lt-LT"/>
              </w:rPr>
            </w:pPr>
            <w:r w:rsidRPr="00095A0E">
              <w:rPr>
                <w:lang w:val="lt-LT"/>
              </w:rPr>
              <w:t>Iš viso pagal priežastis;</w:t>
            </w:r>
          </w:p>
          <w:p w14:paraId="034700B3" w14:textId="3926AAC5" w:rsidR="0076637B" w:rsidRPr="00095A0E" w:rsidRDefault="0076637B" w:rsidP="00095A0E">
            <w:pPr>
              <w:pStyle w:val="ListParagraph"/>
              <w:numPr>
                <w:ilvl w:val="0"/>
                <w:numId w:val="14"/>
              </w:numPr>
              <w:rPr>
                <w:lang w:val="lt-LT"/>
              </w:rPr>
            </w:pPr>
            <w:r w:rsidRPr="00095A0E">
              <w:rPr>
                <w:lang w:val="lt-LT"/>
              </w:rPr>
              <w:t>Išvykę iš šalies;</w:t>
            </w:r>
          </w:p>
          <w:p w14:paraId="376BDB11" w14:textId="77777777" w:rsidR="0076637B" w:rsidRPr="00095A0E" w:rsidRDefault="0076637B" w:rsidP="00095A0E">
            <w:pPr>
              <w:pStyle w:val="ListParagraph"/>
              <w:numPr>
                <w:ilvl w:val="0"/>
                <w:numId w:val="14"/>
              </w:numPr>
              <w:rPr>
                <w:lang w:val="lt-LT"/>
              </w:rPr>
            </w:pPr>
            <w:r w:rsidRPr="00095A0E">
              <w:rPr>
                <w:lang w:val="lt-LT"/>
              </w:rPr>
              <w:t>Priežastis nenurodyta;</w:t>
            </w:r>
          </w:p>
          <w:p w14:paraId="4EDB5D10" w14:textId="34FF09AF" w:rsidR="00C21ADE" w:rsidRPr="00095A0E" w:rsidRDefault="0076637B" w:rsidP="00095A0E">
            <w:pPr>
              <w:pStyle w:val="ListParagraph"/>
              <w:numPr>
                <w:ilvl w:val="0"/>
                <w:numId w:val="14"/>
              </w:numPr>
              <w:rPr>
                <w:lang w:val="lt-LT"/>
              </w:rPr>
            </w:pPr>
            <w:r w:rsidRPr="00095A0E">
              <w:rPr>
                <w:lang w:val="lt-LT"/>
              </w:rPr>
              <w:t xml:space="preserve">Socialinės, </w:t>
            </w:r>
            <w:r w:rsidRPr="00095A0E">
              <w:rPr>
                <w:lang w:val="lt-LT"/>
              </w:rPr>
              <w:lastRenderedPageBreak/>
              <w:t xml:space="preserve">psichologinės ir kitos priežastys </w:t>
            </w:r>
          </w:p>
        </w:tc>
        <w:tc>
          <w:tcPr>
            <w:tcW w:w="1727" w:type="dxa"/>
          </w:tcPr>
          <w:p w14:paraId="508E1277" w14:textId="77777777" w:rsidR="00C21ADE" w:rsidRPr="00EC247F" w:rsidRDefault="00C21ADE" w:rsidP="00695B8A">
            <w:pPr>
              <w:rPr>
                <w:lang w:val="lt-LT"/>
              </w:rPr>
            </w:pPr>
            <w:r w:rsidRPr="00EC247F">
              <w:rPr>
                <w:lang w:val="lt-LT"/>
              </w:rPr>
              <w:lastRenderedPageBreak/>
              <w:t>Nuo 2012–2013 m. m.</w:t>
            </w:r>
          </w:p>
          <w:p w14:paraId="75674F65" w14:textId="4DA87321" w:rsidR="00C21ADE" w:rsidRPr="00EC247F" w:rsidRDefault="00F1585E" w:rsidP="00F1585E">
            <w:pPr>
              <w:rPr>
                <w:lang w:val="lt-LT"/>
              </w:rPr>
            </w:pPr>
            <w:r w:rsidRPr="00F1585E">
              <w:rPr>
                <w:lang w:val="lt-LT"/>
              </w:rPr>
              <w:t>Dalinai skelbiama (</w:t>
            </w:r>
            <w:r>
              <w:rPr>
                <w:lang w:val="lt-LT"/>
              </w:rPr>
              <w:t>pateikiami</w:t>
            </w:r>
            <w:r w:rsidRPr="00F1585E">
              <w:rPr>
                <w:lang w:val="lt-LT"/>
              </w:rPr>
              <w:t xml:space="preserve"> tik absoliutūs sk.)</w:t>
            </w:r>
          </w:p>
        </w:tc>
        <w:tc>
          <w:tcPr>
            <w:tcW w:w="1243" w:type="dxa"/>
            <w:gridSpan w:val="2"/>
          </w:tcPr>
          <w:p w14:paraId="175DD2AD" w14:textId="77777777" w:rsidR="00C21ADE" w:rsidRPr="00EC247F" w:rsidRDefault="008D68B7" w:rsidP="00695B8A">
            <w:pPr>
              <w:rPr>
                <w:lang w:val="lt-LT"/>
              </w:rPr>
            </w:pPr>
            <w:r w:rsidRPr="00EC247F">
              <w:rPr>
                <w:lang w:val="lt-LT"/>
              </w:rPr>
              <w:t>ŠITC</w:t>
            </w:r>
          </w:p>
        </w:tc>
        <w:tc>
          <w:tcPr>
            <w:tcW w:w="6750" w:type="dxa"/>
          </w:tcPr>
          <w:p w14:paraId="140AD85B" w14:textId="451AB96F" w:rsidR="00C21ADE" w:rsidRPr="00EC247F" w:rsidRDefault="00723EAC" w:rsidP="009B19B8">
            <w:pPr>
              <w:rPr>
                <w:lang w:val="lt-LT"/>
              </w:rPr>
            </w:pPr>
            <w:r w:rsidRPr="00EC247F">
              <w:rPr>
                <w:lang w:val="lt-LT"/>
              </w:rPr>
              <w:t xml:space="preserve">Siekiant užkirsti </w:t>
            </w:r>
            <w:r w:rsidR="005A0DE6" w:rsidRPr="00EC247F">
              <w:rPr>
                <w:lang w:val="lt-LT"/>
              </w:rPr>
              <w:t xml:space="preserve">kelią </w:t>
            </w:r>
            <w:r w:rsidRPr="00EC247F">
              <w:rPr>
                <w:lang w:val="lt-LT"/>
              </w:rPr>
              <w:t>lyčių nelygyb</w:t>
            </w:r>
            <w:r w:rsidR="005A0DE6" w:rsidRPr="00EC247F">
              <w:rPr>
                <w:lang w:val="lt-LT"/>
              </w:rPr>
              <w:t>ei</w:t>
            </w:r>
            <w:r w:rsidRPr="00EC247F">
              <w:rPr>
                <w:lang w:val="lt-LT"/>
              </w:rPr>
              <w:t xml:space="preserve"> išsilavinimo srityje, </w:t>
            </w:r>
            <w:r w:rsidR="005A0DE6" w:rsidRPr="00EC247F">
              <w:rPr>
                <w:lang w:val="lt-LT"/>
              </w:rPr>
              <w:t xml:space="preserve">svarbu užtikrinti lygias galimybes į švietimą kuo jaunesniame amžiuje. Todėl „Europa 2020“ strategijoje numatoma </w:t>
            </w:r>
            <w:r w:rsidR="009744BC" w:rsidRPr="00EC247F">
              <w:rPr>
                <w:lang w:val="lt-LT"/>
              </w:rPr>
              <w:t>mažinti ankstyvojo pasitraukimo iš švietimo sistemos mastus</w:t>
            </w:r>
            <w:r w:rsidRPr="00EC247F">
              <w:rPr>
                <w:rStyle w:val="FootnoteReference"/>
                <w:lang w:val="lt-LT"/>
              </w:rPr>
              <w:footnoteReference w:id="23"/>
            </w:r>
            <w:r w:rsidR="009744BC" w:rsidRPr="00EC247F">
              <w:rPr>
                <w:lang w:val="lt-LT"/>
              </w:rPr>
              <w:t>.</w:t>
            </w:r>
            <w:r w:rsidR="00C21ADE" w:rsidRPr="00EC247F">
              <w:rPr>
                <w:lang w:val="lt-LT"/>
              </w:rPr>
              <w:t xml:space="preserve"> Išsivysčiusiose šalyse, kuriose bendrojo ugdymo lankomumo lygis aukštas, dažniau mokykloje nesimoko berniukai</w:t>
            </w:r>
            <w:r w:rsidR="005A0DE6" w:rsidRPr="00EC247F">
              <w:rPr>
                <w:rStyle w:val="FootnoteReference"/>
                <w:lang w:val="lt-LT"/>
              </w:rPr>
              <w:footnoteReference w:id="24"/>
            </w:r>
            <w:r w:rsidR="005A0DE6" w:rsidRPr="00EC247F">
              <w:rPr>
                <w:lang w:val="lt-LT"/>
              </w:rPr>
              <w:t>,</w:t>
            </w:r>
            <w:r w:rsidR="004C2175" w:rsidRPr="00EC247F">
              <w:rPr>
                <w:rStyle w:val="FootnoteReference"/>
                <w:lang w:val="lt-LT"/>
              </w:rPr>
              <w:footnoteReference w:id="25"/>
            </w:r>
            <w:r w:rsidR="00C21ADE" w:rsidRPr="00EC247F">
              <w:rPr>
                <w:lang w:val="lt-LT"/>
              </w:rPr>
              <w:t xml:space="preserve">. </w:t>
            </w:r>
            <w:r w:rsidR="0076637B" w:rsidRPr="00EC247F">
              <w:rPr>
                <w:lang w:val="lt-LT"/>
              </w:rPr>
              <w:t>S</w:t>
            </w:r>
            <w:r w:rsidR="009D0ABC">
              <w:rPr>
                <w:lang w:val="lt-LT"/>
              </w:rPr>
              <w:t>tatistiniai duomeny</w:t>
            </w:r>
            <w:r w:rsidR="0076637B" w:rsidRPr="00EC247F">
              <w:rPr>
                <w:lang w:val="lt-LT"/>
              </w:rPr>
              <w:t xml:space="preserve">s </w:t>
            </w:r>
            <w:r w:rsidR="009D0ABC">
              <w:rPr>
                <w:lang w:val="lt-LT"/>
              </w:rPr>
              <w:t xml:space="preserve">rodo, </w:t>
            </w:r>
            <w:r w:rsidR="00CD6B22">
              <w:rPr>
                <w:lang w:val="lt-LT"/>
              </w:rPr>
              <w:t xml:space="preserve">kad </w:t>
            </w:r>
            <w:r w:rsidR="00C21ADE" w:rsidRPr="00EC247F">
              <w:rPr>
                <w:lang w:val="lt-LT"/>
              </w:rPr>
              <w:t xml:space="preserve">Lietuvoje </w:t>
            </w:r>
            <w:r w:rsidR="0076637B" w:rsidRPr="00EC247F">
              <w:rPr>
                <w:lang w:val="lt-LT"/>
              </w:rPr>
              <w:t xml:space="preserve">šalies mastu šiam reiškiniui </w:t>
            </w:r>
            <w:r w:rsidR="00593E23" w:rsidRPr="00EC247F">
              <w:rPr>
                <w:lang w:val="lt-LT"/>
              </w:rPr>
              <w:t xml:space="preserve">didžiausios įtakos turi emigracija, </w:t>
            </w:r>
            <w:r w:rsidR="0076637B" w:rsidRPr="00EC247F">
              <w:rPr>
                <w:lang w:val="lt-LT"/>
              </w:rPr>
              <w:t>pagrindinė vaikų nesimokymo priežastis</w:t>
            </w:r>
            <w:r w:rsidR="00593E23" w:rsidRPr="00EC247F">
              <w:rPr>
                <w:lang w:val="lt-LT"/>
              </w:rPr>
              <w:t xml:space="preserve"> </w:t>
            </w:r>
            <w:r w:rsidR="00C21ADE" w:rsidRPr="00EC247F">
              <w:rPr>
                <w:lang w:val="lt-LT"/>
              </w:rPr>
              <w:t>– išvykimas iš šalies</w:t>
            </w:r>
            <w:r w:rsidR="0076637B" w:rsidRPr="00EC247F">
              <w:rPr>
                <w:rStyle w:val="FootnoteReference"/>
                <w:lang w:val="lt-LT"/>
              </w:rPr>
              <w:footnoteReference w:id="26"/>
            </w:r>
            <w:r w:rsidR="00C21ADE" w:rsidRPr="00EC247F">
              <w:rPr>
                <w:lang w:val="lt-LT"/>
              </w:rPr>
              <w:t>.</w:t>
            </w:r>
          </w:p>
          <w:p w14:paraId="0E2E4124" w14:textId="77777777" w:rsidR="00723EAC" w:rsidRPr="00EC247F" w:rsidRDefault="00723EAC" w:rsidP="009B19B8">
            <w:pPr>
              <w:rPr>
                <w:lang w:val="lt-LT"/>
              </w:rPr>
            </w:pPr>
          </w:p>
          <w:p w14:paraId="1F85B28F" w14:textId="1AC9BC64" w:rsidR="00723EAC" w:rsidRPr="00EC247F" w:rsidRDefault="00723EAC" w:rsidP="009B19B8">
            <w:pPr>
              <w:rPr>
                <w:lang w:val="lt-LT"/>
              </w:rPr>
            </w:pPr>
            <w:r w:rsidRPr="00EC247F">
              <w:rPr>
                <w:lang w:val="lt-LT"/>
              </w:rPr>
              <w:t xml:space="preserve">Šis rodiklis matuoja, kokia dalis (procentais) 7–15 metų amžiaus </w:t>
            </w:r>
            <w:r w:rsidRPr="00EC247F">
              <w:rPr>
                <w:lang w:val="lt-LT"/>
              </w:rPr>
              <w:lastRenderedPageBreak/>
              <w:t>vaikų nesimoko mokykloje.</w:t>
            </w:r>
            <w:r w:rsidR="001B31F9">
              <w:rPr>
                <w:lang w:val="lt-LT"/>
              </w:rPr>
              <w:t xml:space="preserve"> </w:t>
            </w:r>
          </w:p>
          <w:p w14:paraId="7F1AE4DC" w14:textId="77777777" w:rsidR="00C21ADE" w:rsidRPr="00EC247F" w:rsidRDefault="00C21ADE" w:rsidP="009B19B8">
            <w:pPr>
              <w:rPr>
                <w:lang w:val="lt-LT"/>
              </w:rPr>
            </w:pPr>
          </w:p>
          <w:p w14:paraId="45CAC8E7" w14:textId="626774E1" w:rsidR="00C21ADE" w:rsidRPr="00EC247F" w:rsidRDefault="00C21ADE" w:rsidP="004C2175">
            <w:pPr>
              <w:rPr>
                <w:lang w:val="lt-LT"/>
              </w:rPr>
            </w:pPr>
            <w:r w:rsidRPr="00EC247F">
              <w:rPr>
                <w:b/>
                <w:i/>
                <w:lang w:val="lt-LT"/>
              </w:rPr>
              <w:t>Nesimokantis asmuo</w:t>
            </w:r>
            <w:r w:rsidRPr="00EC247F">
              <w:rPr>
                <w:lang w:val="lt-LT"/>
              </w:rPr>
              <w:t xml:space="preserve"> </w:t>
            </w:r>
            <w:r w:rsidRPr="004C08A4">
              <w:rPr>
                <w:i/>
                <w:lang w:val="lt-LT"/>
              </w:rPr>
              <w:t>– neįregistruotas Mokinių registre vaikas iki 16 metų, kurio deklaruota gyvenamoji vieta yra atitinkamoje savivaldybėje, arba vaikas, įrašytas į gyvenamosios vietos neturinčių asmenų apskaitą pag</w:t>
            </w:r>
            <w:r w:rsidR="004C2175" w:rsidRPr="004C08A4">
              <w:rPr>
                <w:i/>
                <w:lang w:val="lt-LT"/>
              </w:rPr>
              <w:t>al savivaldybę, kurioje gyvena</w:t>
            </w:r>
            <w:r w:rsidRPr="00EC247F">
              <w:rPr>
                <w:rStyle w:val="FootnoteReference"/>
                <w:lang w:val="lt-LT"/>
              </w:rPr>
              <w:footnoteReference w:id="27"/>
            </w:r>
            <w:r w:rsidRPr="00EC247F">
              <w:rPr>
                <w:lang w:val="lt-LT"/>
              </w:rPr>
              <w:t>.</w:t>
            </w:r>
          </w:p>
        </w:tc>
      </w:tr>
      <w:tr w:rsidR="00A974AE" w:rsidRPr="00EC247F" w14:paraId="2A01A7F5" w14:textId="77777777" w:rsidTr="00AD1B26">
        <w:trPr>
          <w:jc w:val="center"/>
        </w:trPr>
        <w:tc>
          <w:tcPr>
            <w:tcW w:w="570" w:type="dxa"/>
          </w:tcPr>
          <w:p w14:paraId="40CEA8B3" w14:textId="31B6D1D1" w:rsidR="00A974AE" w:rsidRPr="00EC247F" w:rsidRDefault="00A974AE" w:rsidP="00695B8A">
            <w:pPr>
              <w:rPr>
                <w:b/>
                <w:lang w:val="lt-LT"/>
              </w:rPr>
            </w:pPr>
          </w:p>
        </w:tc>
        <w:tc>
          <w:tcPr>
            <w:tcW w:w="15175" w:type="dxa"/>
            <w:gridSpan w:val="6"/>
          </w:tcPr>
          <w:p w14:paraId="532ABF81" w14:textId="77777777" w:rsidR="00A974AE" w:rsidRPr="00EC247F" w:rsidRDefault="00A974AE" w:rsidP="008F32C9">
            <w:pPr>
              <w:jc w:val="center"/>
              <w:rPr>
                <w:b/>
                <w:lang w:val="lt-LT"/>
              </w:rPr>
            </w:pPr>
            <w:r w:rsidRPr="00EC247F">
              <w:rPr>
                <w:b/>
                <w:lang w:val="lt-LT"/>
              </w:rPr>
              <w:t>Dalyvavimas darbo rinkoje</w:t>
            </w:r>
          </w:p>
        </w:tc>
      </w:tr>
      <w:tr w:rsidR="00C21ADE" w:rsidRPr="00485D1C" w14:paraId="36E3FDC4" w14:textId="77777777" w:rsidTr="00AD1B26">
        <w:trPr>
          <w:jc w:val="center"/>
        </w:trPr>
        <w:tc>
          <w:tcPr>
            <w:tcW w:w="570" w:type="dxa"/>
            <w:tcBorders>
              <w:bottom w:val="single" w:sz="4" w:space="0" w:color="auto"/>
            </w:tcBorders>
          </w:tcPr>
          <w:p w14:paraId="1C9531A8" w14:textId="77777777" w:rsidR="00C21ADE" w:rsidRPr="00EC247F" w:rsidRDefault="00C21ADE" w:rsidP="00A2149A">
            <w:pPr>
              <w:rPr>
                <w:lang w:val="lt-LT"/>
              </w:rPr>
            </w:pPr>
            <w:r w:rsidRPr="00EC247F">
              <w:rPr>
                <w:lang w:val="lt-LT"/>
              </w:rPr>
              <w:t>10.</w:t>
            </w:r>
          </w:p>
        </w:tc>
        <w:tc>
          <w:tcPr>
            <w:tcW w:w="3115" w:type="dxa"/>
            <w:tcBorders>
              <w:bottom w:val="single" w:sz="4" w:space="0" w:color="auto"/>
            </w:tcBorders>
          </w:tcPr>
          <w:p w14:paraId="229EB0BB" w14:textId="77777777" w:rsidR="00C21ADE" w:rsidRPr="00EC247F" w:rsidRDefault="00C21ADE" w:rsidP="00A2149A">
            <w:pPr>
              <w:rPr>
                <w:lang w:val="lt-LT"/>
              </w:rPr>
            </w:pPr>
            <w:r w:rsidRPr="00EC247F">
              <w:rPr>
                <w:lang w:val="lt-LT"/>
              </w:rPr>
              <w:t xml:space="preserve">Užimtumo lygis </w:t>
            </w:r>
          </w:p>
        </w:tc>
        <w:tc>
          <w:tcPr>
            <w:tcW w:w="2340" w:type="dxa"/>
          </w:tcPr>
          <w:p w14:paraId="3CEEC057" w14:textId="77777777" w:rsidR="00C21ADE" w:rsidRPr="00EC247F" w:rsidRDefault="00C21ADE" w:rsidP="00C75B1E">
            <w:pPr>
              <w:rPr>
                <w:lang w:val="lt-LT"/>
              </w:rPr>
            </w:pPr>
            <w:r w:rsidRPr="00EC247F">
              <w:rPr>
                <w:lang w:val="lt-LT"/>
              </w:rPr>
              <w:t xml:space="preserve">Lytis </w:t>
            </w:r>
          </w:p>
          <w:p w14:paraId="2E558B3E" w14:textId="77777777" w:rsidR="00C21ADE" w:rsidRPr="00EC247F" w:rsidRDefault="00C21ADE" w:rsidP="00C75B1E">
            <w:pPr>
              <w:rPr>
                <w:lang w:val="lt-LT"/>
              </w:rPr>
            </w:pPr>
            <w:r w:rsidRPr="00EC247F">
              <w:rPr>
                <w:color w:val="000000" w:themeColor="text1"/>
                <w:lang w:val="lt-LT"/>
              </w:rPr>
              <w:t>Savivaldybės</w:t>
            </w:r>
            <w:r w:rsidRPr="00EC247F">
              <w:rPr>
                <w:lang w:val="lt-LT"/>
              </w:rPr>
              <w:t xml:space="preserve"> </w:t>
            </w:r>
          </w:p>
          <w:p w14:paraId="1AB56633" w14:textId="77777777" w:rsidR="00C21ADE" w:rsidRPr="00EC247F" w:rsidRDefault="00C21ADE" w:rsidP="00C75B1E">
            <w:pPr>
              <w:rPr>
                <w:lang w:val="lt-LT"/>
              </w:rPr>
            </w:pPr>
            <w:r w:rsidRPr="00EC247F">
              <w:rPr>
                <w:lang w:val="lt-LT"/>
              </w:rPr>
              <w:t>Amžius (15–64)</w:t>
            </w:r>
          </w:p>
          <w:p w14:paraId="22CBA7DC" w14:textId="78528278" w:rsidR="0076637B" w:rsidRPr="00EC247F" w:rsidRDefault="0076637B" w:rsidP="004E2FE7">
            <w:pPr>
              <w:rPr>
                <w:lang w:val="lt-LT"/>
              </w:rPr>
            </w:pPr>
          </w:p>
        </w:tc>
        <w:tc>
          <w:tcPr>
            <w:tcW w:w="1727" w:type="dxa"/>
          </w:tcPr>
          <w:p w14:paraId="79F370B2" w14:textId="2E2DB99D" w:rsidR="00C21ADE" w:rsidRPr="00EC247F" w:rsidRDefault="00F1585E" w:rsidP="00F1585E">
            <w:pPr>
              <w:rPr>
                <w:lang w:val="lt-LT"/>
              </w:rPr>
            </w:pPr>
            <w:r>
              <w:rPr>
                <w:lang w:val="lt-LT"/>
              </w:rPr>
              <w:t>Dalinai skelbiama (nėra savivaldybių dimensijos)</w:t>
            </w:r>
          </w:p>
        </w:tc>
        <w:tc>
          <w:tcPr>
            <w:tcW w:w="1243" w:type="dxa"/>
            <w:gridSpan w:val="2"/>
          </w:tcPr>
          <w:p w14:paraId="0B374B56" w14:textId="77777777" w:rsidR="00C21ADE" w:rsidRPr="00EC247F" w:rsidRDefault="00C21ADE" w:rsidP="00695B8A">
            <w:pPr>
              <w:rPr>
                <w:lang w:val="lt-LT"/>
              </w:rPr>
            </w:pPr>
            <w:r w:rsidRPr="00EC247F">
              <w:rPr>
                <w:lang w:val="lt-LT"/>
              </w:rPr>
              <w:t>LSD</w:t>
            </w:r>
          </w:p>
        </w:tc>
        <w:tc>
          <w:tcPr>
            <w:tcW w:w="6750" w:type="dxa"/>
          </w:tcPr>
          <w:p w14:paraId="572472A2" w14:textId="3177A430" w:rsidR="00C21ADE" w:rsidRPr="00EC247F" w:rsidRDefault="006D36E5" w:rsidP="009D3C28">
            <w:pPr>
              <w:rPr>
                <w:lang w:val="lt-LT"/>
              </w:rPr>
            </w:pPr>
            <w:r w:rsidRPr="00EC247F">
              <w:rPr>
                <w:lang w:val="lt-LT"/>
              </w:rPr>
              <w:t>Visuomenėje darbo pasidalijimas siejamas su viešosios ir privačiosios sferų priešprieša, nes esanti darbo ir globos, mokamo ir nemokamo darbo takoskyra remiasi vyrų ir moterų hierarchija, kuri pateisina žemesnę moterų padėtį. Tai lemia prastesnę moterų padėtį darbo rinkoje, jų mažesnis užimtumo lygis, jos dirba sektoriuose, kuriuose mokama mažiau</w:t>
            </w:r>
            <w:r w:rsidRPr="00EC247F">
              <w:rPr>
                <w:rStyle w:val="FootnoteReference"/>
                <w:lang w:val="lt-LT"/>
              </w:rPr>
              <w:footnoteReference w:id="28"/>
            </w:r>
            <w:r w:rsidRPr="00EC247F">
              <w:rPr>
                <w:lang w:val="lt-LT"/>
              </w:rPr>
              <w:t xml:space="preserve">. </w:t>
            </w:r>
            <w:r w:rsidR="00C21ADE" w:rsidRPr="00EC247F">
              <w:rPr>
                <w:lang w:val="lt-LT"/>
              </w:rPr>
              <w:t>Vienas iš ES tikslų – pasiekti, kad 2020 m. moterų ir vyrų užimtumo lygis siektų 75 proc., taip sumažinant lyčių užimtumo skirtumus</w:t>
            </w:r>
            <w:r w:rsidR="00C21ADE" w:rsidRPr="00EC247F">
              <w:rPr>
                <w:rStyle w:val="FootnoteReference"/>
                <w:lang w:val="lt-LT"/>
              </w:rPr>
              <w:footnoteReference w:id="29"/>
            </w:r>
            <w:r w:rsidR="00C21ADE" w:rsidRPr="00EC247F">
              <w:rPr>
                <w:lang w:val="lt-LT"/>
              </w:rPr>
              <w:t>.</w:t>
            </w:r>
            <w:r w:rsidR="002F35D0" w:rsidRPr="00EC247F">
              <w:rPr>
                <w:lang w:val="lt-LT"/>
              </w:rPr>
              <w:t xml:space="preserve"> </w:t>
            </w:r>
          </w:p>
          <w:p w14:paraId="2C4E9662" w14:textId="77777777" w:rsidR="00C21ADE" w:rsidRPr="00EC247F" w:rsidRDefault="00C21ADE" w:rsidP="009D3C28">
            <w:pPr>
              <w:rPr>
                <w:lang w:val="lt-LT"/>
              </w:rPr>
            </w:pPr>
          </w:p>
          <w:p w14:paraId="5DEBE5CC" w14:textId="79160040" w:rsidR="00C21ADE" w:rsidRPr="00702435" w:rsidRDefault="00C21ADE" w:rsidP="009D3C28">
            <w:pPr>
              <w:rPr>
                <w:i/>
                <w:lang w:val="lt-LT"/>
              </w:rPr>
            </w:pPr>
            <w:r w:rsidRPr="00702435">
              <w:rPr>
                <w:b/>
                <w:i/>
                <w:lang w:val="lt-LT"/>
              </w:rPr>
              <w:t>Užimtumo lygis</w:t>
            </w:r>
            <w:r w:rsidRPr="00702435">
              <w:rPr>
                <w:i/>
                <w:lang w:val="lt-LT"/>
              </w:rPr>
              <w:t xml:space="preserve"> – rodiklis, išreiškiamas </w:t>
            </w:r>
            <w:r w:rsidR="009C29D9" w:rsidRPr="00702435">
              <w:rPr>
                <w:i/>
                <w:lang w:val="lt-LT"/>
              </w:rPr>
              <w:t>15-64 metų amžiaus u</w:t>
            </w:r>
            <w:r w:rsidRPr="00702435">
              <w:rPr>
                <w:i/>
                <w:lang w:val="lt-LT"/>
              </w:rPr>
              <w:t xml:space="preserve">žimtų gyventojų ir visų </w:t>
            </w:r>
            <w:r w:rsidR="009C29D9" w:rsidRPr="00702435">
              <w:rPr>
                <w:i/>
                <w:lang w:val="lt-LT"/>
              </w:rPr>
              <w:t xml:space="preserve">15-64 metų amžiaus </w:t>
            </w:r>
            <w:r w:rsidRPr="00702435">
              <w:rPr>
                <w:i/>
                <w:lang w:val="lt-LT"/>
              </w:rPr>
              <w:t xml:space="preserve">gyventojų santykiu. </w:t>
            </w:r>
          </w:p>
          <w:p w14:paraId="3DDBA5CA" w14:textId="77777777" w:rsidR="00C21ADE" w:rsidRPr="00190ACD" w:rsidRDefault="00C21ADE" w:rsidP="000A6558">
            <w:pPr>
              <w:rPr>
                <w:lang w:val="lt-LT"/>
              </w:rPr>
            </w:pPr>
          </w:p>
          <w:p w14:paraId="2E7418B1" w14:textId="077CD979" w:rsidR="00C21ADE" w:rsidRPr="00EC247F" w:rsidRDefault="00C21ADE" w:rsidP="00A8411E">
            <w:pPr>
              <w:rPr>
                <w:lang w:val="lt-LT"/>
              </w:rPr>
            </w:pPr>
            <w:r w:rsidRPr="00702435">
              <w:rPr>
                <w:b/>
                <w:i/>
                <w:lang w:val="lt-LT"/>
              </w:rPr>
              <w:t xml:space="preserve">Užimti gyventojai </w:t>
            </w:r>
            <w:r w:rsidRPr="00702435">
              <w:rPr>
                <w:i/>
                <w:lang w:val="lt-LT"/>
              </w:rPr>
              <w:t xml:space="preserve">– 15 metų ir vyresni asmenys, dirbantys bet kokį darbą, gaunantys už jį darbo užmokestį pinigais ar išmoką natūra arba turintys pajamų ar pelno. </w:t>
            </w:r>
            <w:r w:rsidR="00A8411E" w:rsidRPr="00702435">
              <w:rPr>
                <w:i/>
                <w:lang w:val="lt-LT"/>
              </w:rPr>
              <w:t>U</w:t>
            </w:r>
            <w:r w:rsidRPr="00702435">
              <w:rPr>
                <w:i/>
                <w:lang w:val="lt-LT"/>
              </w:rPr>
              <w:t>žimtais gyventojais laikomi 15 metų ir vyresni gyventojai, tiriamąją savaitę ne trumpiau kaip valandą dirbę bet kokį darbą, už kurį gavo darbo užmokestį pinigais ar išmoką natūra ar iš kurio turėjo pelno ar pajamų, taip pat gyventojai, kurie turėjo darbą, bet tiriamąją savaitę laikinai nedirbo</w:t>
            </w:r>
            <w:r w:rsidR="00A8411E" w:rsidRPr="00EC247F">
              <w:rPr>
                <w:rStyle w:val="FootnoteReference"/>
                <w:lang w:val="lt-LT"/>
              </w:rPr>
              <w:footnoteReference w:id="30"/>
            </w:r>
            <w:r w:rsidRPr="00EC247F">
              <w:rPr>
                <w:lang w:val="lt-LT"/>
              </w:rPr>
              <w:t xml:space="preserve"> .</w:t>
            </w:r>
          </w:p>
        </w:tc>
      </w:tr>
      <w:tr w:rsidR="00C21ADE" w:rsidRPr="00485D1C" w14:paraId="28A45A3B" w14:textId="77777777" w:rsidTr="00AD1B26">
        <w:trPr>
          <w:jc w:val="center"/>
        </w:trPr>
        <w:tc>
          <w:tcPr>
            <w:tcW w:w="570" w:type="dxa"/>
            <w:shd w:val="clear" w:color="auto" w:fill="FFFFFF" w:themeFill="background1"/>
          </w:tcPr>
          <w:p w14:paraId="638B1C45" w14:textId="6C432961" w:rsidR="00C21ADE" w:rsidRPr="00EC247F" w:rsidRDefault="00741A16" w:rsidP="00695B8A">
            <w:pPr>
              <w:rPr>
                <w:lang w:val="lt-LT"/>
              </w:rPr>
            </w:pPr>
            <w:r w:rsidRPr="00EC247F">
              <w:rPr>
                <w:lang w:val="lt-LT"/>
              </w:rPr>
              <w:lastRenderedPageBreak/>
              <w:t>11.</w:t>
            </w:r>
          </w:p>
        </w:tc>
        <w:tc>
          <w:tcPr>
            <w:tcW w:w="3115" w:type="dxa"/>
            <w:shd w:val="clear" w:color="auto" w:fill="FFFFFF" w:themeFill="background1"/>
          </w:tcPr>
          <w:p w14:paraId="6AC87BA0" w14:textId="478D7625" w:rsidR="00C21ADE" w:rsidRPr="00EC247F" w:rsidRDefault="00F467B2" w:rsidP="006D36E5">
            <w:pPr>
              <w:rPr>
                <w:lang w:val="lt-LT"/>
              </w:rPr>
            </w:pPr>
            <w:r>
              <w:rPr>
                <w:lang w:val="lt-LT"/>
              </w:rPr>
              <w:t xml:space="preserve">Moterų ir vyrų </w:t>
            </w:r>
            <w:r w:rsidR="00C21ADE" w:rsidRPr="00EC247F">
              <w:rPr>
                <w:lang w:val="lt-LT"/>
              </w:rPr>
              <w:t xml:space="preserve"> užimtumo skirtuma</w:t>
            </w:r>
            <w:r w:rsidR="006D36E5" w:rsidRPr="00EC247F">
              <w:rPr>
                <w:lang w:val="lt-LT"/>
              </w:rPr>
              <w:t>s</w:t>
            </w:r>
          </w:p>
        </w:tc>
        <w:tc>
          <w:tcPr>
            <w:tcW w:w="2340" w:type="dxa"/>
          </w:tcPr>
          <w:p w14:paraId="283B8CEE" w14:textId="77777777" w:rsidR="00C21ADE" w:rsidRPr="00EC247F" w:rsidRDefault="00C21ADE" w:rsidP="006E0668">
            <w:pPr>
              <w:rPr>
                <w:lang w:val="lt-LT"/>
              </w:rPr>
            </w:pPr>
            <w:r w:rsidRPr="00EC247F">
              <w:rPr>
                <w:lang w:val="lt-LT"/>
              </w:rPr>
              <w:t xml:space="preserve">Savivaldybės </w:t>
            </w:r>
          </w:p>
          <w:p w14:paraId="0F9A5E35" w14:textId="77777777" w:rsidR="00C21ADE" w:rsidRPr="00EC247F" w:rsidRDefault="00C21ADE" w:rsidP="00B135EA">
            <w:pPr>
              <w:rPr>
                <w:lang w:val="lt-LT"/>
              </w:rPr>
            </w:pPr>
            <w:r w:rsidRPr="00EC247F">
              <w:rPr>
                <w:lang w:val="lt-LT"/>
              </w:rPr>
              <w:t>Amžius (</w:t>
            </w:r>
            <w:r w:rsidR="00B135EA" w:rsidRPr="00EC247F">
              <w:rPr>
                <w:lang w:val="lt-LT"/>
              </w:rPr>
              <w:t>15</w:t>
            </w:r>
            <w:r w:rsidRPr="00EC247F">
              <w:rPr>
                <w:lang w:val="lt-LT"/>
              </w:rPr>
              <w:t>–64)</w:t>
            </w:r>
          </w:p>
        </w:tc>
        <w:tc>
          <w:tcPr>
            <w:tcW w:w="1727" w:type="dxa"/>
          </w:tcPr>
          <w:p w14:paraId="301CBF44" w14:textId="39805983" w:rsidR="00C21ADE" w:rsidRPr="00EC247F" w:rsidRDefault="00F1585E" w:rsidP="00695B8A">
            <w:pPr>
              <w:rPr>
                <w:lang w:val="lt-LT"/>
              </w:rPr>
            </w:pPr>
            <w:r>
              <w:rPr>
                <w:lang w:val="lt-LT"/>
              </w:rPr>
              <w:t>Naujas rodiklis</w:t>
            </w:r>
            <w:r w:rsidR="00AF096E">
              <w:rPr>
                <w:rStyle w:val="FootnoteReference"/>
                <w:lang w:val="lt-LT"/>
              </w:rPr>
              <w:footnoteReference w:id="31"/>
            </w:r>
          </w:p>
        </w:tc>
        <w:tc>
          <w:tcPr>
            <w:tcW w:w="1243" w:type="dxa"/>
            <w:gridSpan w:val="2"/>
          </w:tcPr>
          <w:p w14:paraId="59E26D64" w14:textId="77777777" w:rsidR="00C21ADE" w:rsidRPr="00EC247F" w:rsidRDefault="00741A16" w:rsidP="00695B8A">
            <w:pPr>
              <w:rPr>
                <w:lang w:val="lt-LT"/>
              </w:rPr>
            </w:pPr>
            <w:r w:rsidRPr="00EC247F">
              <w:rPr>
                <w:lang w:val="lt-LT"/>
              </w:rPr>
              <w:t>LSD</w:t>
            </w:r>
          </w:p>
        </w:tc>
        <w:tc>
          <w:tcPr>
            <w:tcW w:w="6750" w:type="dxa"/>
          </w:tcPr>
          <w:p w14:paraId="0F1DA615" w14:textId="77777777" w:rsidR="006D36E5" w:rsidRPr="00EC247F" w:rsidRDefault="006D36E5" w:rsidP="006D36E5">
            <w:pPr>
              <w:rPr>
                <w:lang w:val="lt-LT"/>
              </w:rPr>
            </w:pPr>
            <w:r w:rsidRPr="00EC247F">
              <w:rPr>
                <w:lang w:val="lt-LT"/>
              </w:rPr>
              <w:t>Visuomenėje darbo pasidalijimas siejamas su viešosios ir privačiosios sferų priešprieša, nes esanti darbo ir globos, mokamo ir nemokamo darbo takoskyra remiasi vyrų ir moterų hierarchija, kuri pateisina žemesnę moterų padėtį. Tai lemia prastesnę moterų padėtį darbo rinkoje, jų mažesnis užimtumo lygis, jos dirba sektoriuose, kuriuose mokama mažiau</w:t>
            </w:r>
            <w:r w:rsidRPr="00EC247F">
              <w:rPr>
                <w:rStyle w:val="FootnoteReference"/>
                <w:lang w:val="lt-LT"/>
              </w:rPr>
              <w:footnoteReference w:id="32"/>
            </w:r>
            <w:r w:rsidRPr="00EC247F">
              <w:rPr>
                <w:lang w:val="lt-LT"/>
              </w:rPr>
              <w:t>.</w:t>
            </w:r>
          </w:p>
          <w:p w14:paraId="061C711B" w14:textId="77777777" w:rsidR="006D36E5" w:rsidRPr="00EC247F" w:rsidRDefault="006D36E5" w:rsidP="006D36E5">
            <w:pPr>
              <w:rPr>
                <w:lang w:val="lt-LT"/>
              </w:rPr>
            </w:pPr>
          </w:p>
          <w:p w14:paraId="5E8B7F6D" w14:textId="4C2C15E8" w:rsidR="00C21ADE" w:rsidRPr="00EC247F" w:rsidRDefault="00C21ADE" w:rsidP="006D36E5">
            <w:pPr>
              <w:rPr>
                <w:lang w:val="lt-LT"/>
              </w:rPr>
            </w:pPr>
            <w:r w:rsidRPr="00EC247F">
              <w:rPr>
                <w:lang w:val="lt-LT"/>
              </w:rPr>
              <w:t>Rodiklis išreiškia skirtumą tarp vyrų ir moterų užimtumo lygių (procentiniais punktais).</w:t>
            </w:r>
          </w:p>
        </w:tc>
      </w:tr>
      <w:tr w:rsidR="00C21ADE" w:rsidRPr="00485D1C" w14:paraId="2465C3E1" w14:textId="77777777" w:rsidTr="00AD1B26">
        <w:trPr>
          <w:jc w:val="center"/>
        </w:trPr>
        <w:tc>
          <w:tcPr>
            <w:tcW w:w="570" w:type="dxa"/>
            <w:shd w:val="clear" w:color="auto" w:fill="FFFFFF" w:themeFill="background1"/>
          </w:tcPr>
          <w:p w14:paraId="442656E9" w14:textId="77777777" w:rsidR="00C21ADE" w:rsidRPr="00EC247F" w:rsidRDefault="00C21ADE" w:rsidP="00741A16">
            <w:pPr>
              <w:rPr>
                <w:lang w:val="lt-LT"/>
              </w:rPr>
            </w:pPr>
            <w:r w:rsidRPr="00EC247F">
              <w:rPr>
                <w:lang w:val="lt-LT"/>
              </w:rPr>
              <w:t>1</w:t>
            </w:r>
            <w:r w:rsidR="00741A16" w:rsidRPr="00EC247F">
              <w:rPr>
                <w:lang w:val="lt-LT"/>
              </w:rPr>
              <w:t>2</w:t>
            </w:r>
            <w:r w:rsidRPr="00EC247F">
              <w:rPr>
                <w:lang w:val="lt-LT"/>
              </w:rPr>
              <w:t>.</w:t>
            </w:r>
          </w:p>
        </w:tc>
        <w:tc>
          <w:tcPr>
            <w:tcW w:w="3115" w:type="dxa"/>
            <w:shd w:val="clear" w:color="auto" w:fill="FFFFFF" w:themeFill="background1"/>
          </w:tcPr>
          <w:p w14:paraId="3F336A09" w14:textId="5D313866" w:rsidR="004B6CF3" w:rsidRPr="00A82023" w:rsidRDefault="004B6CF3" w:rsidP="00365F50">
            <w:pPr>
              <w:rPr>
                <w:lang w:val="lt-LT"/>
              </w:rPr>
            </w:pPr>
            <w:r w:rsidRPr="00EC247F">
              <w:rPr>
                <w:lang w:val="lt-LT"/>
              </w:rPr>
              <w:t>Registruotas nedarbo lygis</w:t>
            </w:r>
            <w:r w:rsidR="00A82023">
              <w:rPr>
                <w:lang w:val="lt-LT"/>
              </w:rPr>
              <w:t xml:space="preserve"> </w:t>
            </w:r>
          </w:p>
          <w:p w14:paraId="0B1AECE1" w14:textId="77777777" w:rsidR="00C21ADE" w:rsidRPr="00EC247F" w:rsidRDefault="00C21ADE" w:rsidP="00645352">
            <w:pPr>
              <w:rPr>
                <w:lang w:val="lt-LT"/>
              </w:rPr>
            </w:pPr>
          </w:p>
        </w:tc>
        <w:tc>
          <w:tcPr>
            <w:tcW w:w="2340" w:type="dxa"/>
          </w:tcPr>
          <w:p w14:paraId="22FE2A83" w14:textId="77777777" w:rsidR="00C21ADE" w:rsidRPr="00EC247F" w:rsidRDefault="00C21ADE" w:rsidP="00E537A6">
            <w:pPr>
              <w:rPr>
                <w:lang w:val="lt-LT"/>
              </w:rPr>
            </w:pPr>
            <w:r w:rsidRPr="00EC247F">
              <w:rPr>
                <w:lang w:val="lt-LT"/>
              </w:rPr>
              <w:t xml:space="preserve">Lytis </w:t>
            </w:r>
          </w:p>
          <w:p w14:paraId="0BB1B4F7" w14:textId="77777777" w:rsidR="00C21ADE" w:rsidRPr="00EC247F" w:rsidRDefault="00C21ADE" w:rsidP="00E537A6">
            <w:pPr>
              <w:rPr>
                <w:lang w:val="lt-LT"/>
              </w:rPr>
            </w:pPr>
            <w:r w:rsidRPr="00EC247F">
              <w:rPr>
                <w:lang w:val="lt-LT"/>
              </w:rPr>
              <w:t>Savivaldybės</w:t>
            </w:r>
          </w:p>
          <w:p w14:paraId="0B39C09A" w14:textId="2D03EE23" w:rsidR="00C21ADE" w:rsidRPr="00EC247F" w:rsidRDefault="00C21ADE" w:rsidP="00DF7F9C">
            <w:pPr>
              <w:rPr>
                <w:lang w:val="lt-LT"/>
              </w:rPr>
            </w:pPr>
          </w:p>
        </w:tc>
        <w:tc>
          <w:tcPr>
            <w:tcW w:w="1727" w:type="dxa"/>
          </w:tcPr>
          <w:p w14:paraId="419E77D6" w14:textId="77777777" w:rsidR="00C21ADE" w:rsidRPr="00EC247F" w:rsidRDefault="00C21ADE" w:rsidP="00695B8A">
            <w:pPr>
              <w:rPr>
                <w:lang w:val="lt-LT"/>
              </w:rPr>
            </w:pPr>
            <w:r w:rsidRPr="00EC247F">
              <w:rPr>
                <w:lang w:val="lt-LT"/>
              </w:rPr>
              <w:t>Nuo 1998 m.</w:t>
            </w:r>
          </w:p>
          <w:p w14:paraId="776826CE" w14:textId="1F2C81ED" w:rsidR="00C21ADE" w:rsidRPr="00EC247F" w:rsidRDefault="009A2124" w:rsidP="009A2124">
            <w:pPr>
              <w:rPr>
                <w:lang w:val="lt-LT"/>
              </w:rPr>
            </w:pPr>
            <w:r>
              <w:rPr>
                <w:lang w:val="lt-LT"/>
              </w:rPr>
              <w:t>Dalinai skelbiama (nėra lyties dimensijos)</w:t>
            </w:r>
          </w:p>
        </w:tc>
        <w:tc>
          <w:tcPr>
            <w:tcW w:w="1243" w:type="dxa"/>
            <w:gridSpan w:val="2"/>
          </w:tcPr>
          <w:p w14:paraId="71A59369" w14:textId="77777777" w:rsidR="00C21ADE" w:rsidRPr="00EC247F" w:rsidRDefault="00C21ADE" w:rsidP="00695B8A">
            <w:pPr>
              <w:rPr>
                <w:lang w:val="lt-LT"/>
              </w:rPr>
            </w:pPr>
            <w:r w:rsidRPr="00EC247F">
              <w:rPr>
                <w:lang w:val="lt-LT"/>
              </w:rPr>
              <w:t>Darbo birža</w:t>
            </w:r>
          </w:p>
        </w:tc>
        <w:tc>
          <w:tcPr>
            <w:tcW w:w="6750" w:type="dxa"/>
          </w:tcPr>
          <w:p w14:paraId="7815169B" w14:textId="309D48D4" w:rsidR="00C21ADE" w:rsidRPr="00EC247F" w:rsidRDefault="00C21ADE" w:rsidP="00695B8A">
            <w:pPr>
              <w:rPr>
                <w:bCs/>
                <w:lang w:val="lt-LT"/>
              </w:rPr>
            </w:pPr>
            <w:r w:rsidRPr="00EC247F">
              <w:rPr>
                <w:bCs/>
                <w:lang w:val="lt-LT"/>
              </w:rPr>
              <w:t>Rodiklis matuoja, kokia procentinė dalis darbingo amžiaus gyventojų buvo bedarbiai</w:t>
            </w:r>
            <w:r w:rsidR="00645352" w:rsidRPr="00EC247F">
              <w:rPr>
                <w:bCs/>
                <w:lang w:val="lt-LT"/>
              </w:rPr>
              <w:t xml:space="preserve"> (</w:t>
            </w:r>
            <w:r w:rsidR="00645352" w:rsidRPr="00EC247F">
              <w:rPr>
                <w:lang w:val="lt-LT"/>
              </w:rPr>
              <w:t>įsiregistravę teritorinėje darbo biržoje)</w:t>
            </w:r>
            <w:r w:rsidRPr="00EC247F">
              <w:rPr>
                <w:bCs/>
                <w:lang w:val="lt-LT"/>
              </w:rPr>
              <w:t>. Apskaičiuojamas metinis mėnesinių rodiklių vidurkis.</w:t>
            </w:r>
          </w:p>
          <w:p w14:paraId="5C113510" w14:textId="77777777" w:rsidR="00C21ADE" w:rsidRPr="00EC247F" w:rsidRDefault="00C21ADE" w:rsidP="00695B8A">
            <w:pPr>
              <w:rPr>
                <w:b/>
                <w:bCs/>
                <w:lang w:val="lt-LT"/>
              </w:rPr>
            </w:pPr>
          </w:p>
          <w:p w14:paraId="1B2D914A" w14:textId="291DB518" w:rsidR="00C21ADE" w:rsidRPr="00702435" w:rsidRDefault="00370503" w:rsidP="00695B8A">
            <w:pPr>
              <w:rPr>
                <w:i/>
                <w:iCs/>
                <w:lang w:val="lt-LT"/>
              </w:rPr>
            </w:pPr>
            <w:r>
              <w:rPr>
                <w:b/>
                <w:bCs/>
                <w:i/>
                <w:lang w:val="lt-LT"/>
              </w:rPr>
              <w:t xml:space="preserve">Bedarbis </w:t>
            </w:r>
            <w:r>
              <w:rPr>
                <w:i/>
                <w:lang w:val="lt-LT"/>
              </w:rPr>
              <w:t xml:space="preserve">– </w:t>
            </w:r>
            <w:r w:rsidR="00C21ADE" w:rsidRPr="00702435">
              <w:rPr>
                <w:i/>
                <w:lang w:val="lt-LT"/>
              </w:rPr>
              <w:t>nedirbantis da</w:t>
            </w:r>
            <w:r>
              <w:rPr>
                <w:i/>
                <w:lang w:val="lt-LT"/>
              </w:rPr>
              <w:t xml:space="preserve">rbingo amžiaus darbingas asmuo, </w:t>
            </w:r>
            <w:r w:rsidR="00C21ADE" w:rsidRPr="00702435">
              <w:rPr>
                <w:i/>
                <w:lang w:val="lt-LT"/>
              </w:rPr>
              <w:t>kuris nesimoko pagal bendrojo ugdymo programą ar pagal formaliojo profesinio mokymo programą arba nestudijuoja aukštojoje mokykloje pagal nuol</w:t>
            </w:r>
            <w:r w:rsidR="0014540A">
              <w:rPr>
                <w:i/>
                <w:lang w:val="lt-LT"/>
              </w:rPr>
              <w:t xml:space="preserve">atinės formos studijų programas </w:t>
            </w:r>
            <w:r w:rsidR="00C21ADE" w:rsidRPr="00702435">
              <w:rPr>
                <w:i/>
                <w:lang w:val="lt-LT"/>
              </w:rPr>
              <w:t>ir yra įstatymų nustatyta tvarka įsiregistra</w:t>
            </w:r>
            <w:r>
              <w:rPr>
                <w:i/>
                <w:lang w:val="lt-LT"/>
              </w:rPr>
              <w:t xml:space="preserve">vęs teritorinėje darbo biržoje. </w:t>
            </w:r>
            <w:r w:rsidR="00C21ADE" w:rsidRPr="00702435">
              <w:rPr>
                <w:i/>
                <w:iCs/>
                <w:lang w:val="lt-LT"/>
              </w:rPr>
              <w:t>(Lietuvos Respublikos užimtumo rėmimo įstatymo 2 str. 3 d.).</w:t>
            </w:r>
            <w:r w:rsidR="00C21ADE" w:rsidRPr="00702435">
              <w:rPr>
                <w:rStyle w:val="FootnoteReference"/>
                <w:i/>
                <w:iCs/>
                <w:lang w:val="lt-LT"/>
              </w:rPr>
              <w:footnoteReference w:id="33"/>
            </w:r>
          </w:p>
          <w:p w14:paraId="3E2B7BA1" w14:textId="77777777" w:rsidR="00C21ADE" w:rsidRPr="00702435" w:rsidRDefault="00C21ADE" w:rsidP="00695B8A">
            <w:pPr>
              <w:rPr>
                <w:i/>
                <w:lang w:val="lt-LT"/>
              </w:rPr>
            </w:pPr>
          </w:p>
          <w:p w14:paraId="2532AEB9" w14:textId="77777777" w:rsidR="00C21ADE" w:rsidRPr="00EC247F" w:rsidRDefault="00C21ADE" w:rsidP="00402E67">
            <w:pPr>
              <w:rPr>
                <w:lang w:val="lt-LT"/>
              </w:rPr>
            </w:pPr>
            <w:r w:rsidRPr="00702435">
              <w:rPr>
                <w:b/>
                <w:i/>
                <w:lang w:val="lt-LT"/>
              </w:rPr>
              <w:t>Darbingo amžiaus gyventojai</w:t>
            </w:r>
            <w:r w:rsidRPr="00702435">
              <w:rPr>
                <w:i/>
                <w:lang w:val="lt-LT"/>
              </w:rPr>
              <w:t xml:space="preserve"> – asmenys nuo 16 metų iki Lietuvos Respublikos valstybinių socialinio draudimo pensijų įstatymo nustatyto senatvės pensijos amžiaus</w:t>
            </w:r>
            <w:r w:rsidRPr="00EC247F">
              <w:rPr>
                <w:rStyle w:val="FootnoteReference"/>
                <w:lang w:val="lt-LT"/>
              </w:rPr>
              <w:footnoteReference w:id="34"/>
            </w:r>
            <w:r w:rsidRPr="00EC247F">
              <w:rPr>
                <w:lang w:val="lt-LT"/>
              </w:rPr>
              <w:t>.</w:t>
            </w:r>
          </w:p>
        </w:tc>
      </w:tr>
      <w:tr w:rsidR="00C21ADE" w:rsidRPr="00EC247F" w14:paraId="4C4FBEA8" w14:textId="77777777" w:rsidTr="00AD1B26">
        <w:trPr>
          <w:jc w:val="center"/>
        </w:trPr>
        <w:tc>
          <w:tcPr>
            <w:tcW w:w="570" w:type="dxa"/>
          </w:tcPr>
          <w:p w14:paraId="6F184BF4" w14:textId="77777777" w:rsidR="00C21ADE" w:rsidRPr="00EC247F" w:rsidRDefault="00741A16" w:rsidP="00F0159F">
            <w:pPr>
              <w:rPr>
                <w:lang w:val="lt-LT"/>
              </w:rPr>
            </w:pPr>
            <w:r w:rsidRPr="00EC247F">
              <w:rPr>
                <w:lang w:val="lt-LT"/>
              </w:rPr>
              <w:t>13</w:t>
            </w:r>
            <w:r w:rsidR="00C21ADE" w:rsidRPr="00EC247F">
              <w:rPr>
                <w:lang w:val="lt-LT"/>
              </w:rPr>
              <w:t>.</w:t>
            </w:r>
          </w:p>
        </w:tc>
        <w:tc>
          <w:tcPr>
            <w:tcW w:w="3115" w:type="dxa"/>
          </w:tcPr>
          <w:p w14:paraId="1226B8D8" w14:textId="77777777" w:rsidR="008403D3" w:rsidRPr="00EC247F" w:rsidRDefault="00C21ADE" w:rsidP="00EB6050">
            <w:pPr>
              <w:rPr>
                <w:lang w:val="lt-LT"/>
              </w:rPr>
            </w:pPr>
            <w:r w:rsidRPr="00EC247F">
              <w:rPr>
                <w:lang w:val="lt-LT"/>
              </w:rPr>
              <w:t>Registruot</w:t>
            </w:r>
            <w:r w:rsidR="008403D3" w:rsidRPr="00EC247F">
              <w:rPr>
                <w:lang w:val="lt-LT"/>
              </w:rPr>
              <w:t>i bedarbiai</w:t>
            </w:r>
          </w:p>
          <w:p w14:paraId="728DEAD7" w14:textId="77777777" w:rsidR="008403D3" w:rsidRPr="00EC247F" w:rsidRDefault="008403D3" w:rsidP="00EB6050">
            <w:pPr>
              <w:rPr>
                <w:lang w:val="lt-LT"/>
              </w:rPr>
            </w:pPr>
          </w:p>
          <w:p w14:paraId="49773909" w14:textId="24AC0D5A" w:rsidR="00C21ADE" w:rsidRPr="00EC247F" w:rsidRDefault="00C21ADE" w:rsidP="008403D3">
            <w:pPr>
              <w:rPr>
                <w:lang w:val="lt-LT"/>
              </w:rPr>
            </w:pPr>
          </w:p>
        </w:tc>
        <w:tc>
          <w:tcPr>
            <w:tcW w:w="2340" w:type="dxa"/>
          </w:tcPr>
          <w:p w14:paraId="7DD3DCB7" w14:textId="77777777" w:rsidR="00C21ADE" w:rsidRPr="00EC247F" w:rsidRDefault="00C21ADE" w:rsidP="00A90035">
            <w:pPr>
              <w:rPr>
                <w:lang w:val="lt-LT"/>
              </w:rPr>
            </w:pPr>
            <w:r w:rsidRPr="00EC247F">
              <w:rPr>
                <w:lang w:val="lt-LT"/>
              </w:rPr>
              <w:t>Lytis</w:t>
            </w:r>
          </w:p>
          <w:p w14:paraId="43C75F80" w14:textId="77777777" w:rsidR="00C21ADE" w:rsidRPr="00EC247F" w:rsidRDefault="00C21ADE" w:rsidP="00F0159F">
            <w:pPr>
              <w:rPr>
                <w:lang w:val="lt-LT"/>
              </w:rPr>
            </w:pPr>
            <w:r w:rsidRPr="00EC247F">
              <w:rPr>
                <w:lang w:val="lt-LT"/>
              </w:rPr>
              <w:t>Savivaldybės</w:t>
            </w:r>
          </w:p>
          <w:p w14:paraId="52A797A0" w14:textId="77777777" w:rsidR="00C21ADE" w:rsidRPr="00EC247F" w:rsidRDefault="00C21ADE" w:rsidP="00A90035">
            <w:pPr>
              <w:rPr>
                <w:lang w:val="lt-LT"/>
              </w:rPr>
            </w:pPr>
            <w:r w:rsidRPr="00EC247F">
              <w:rPr>
                <w:lang w:val="lt-LT"/>
              </w:rPr>
              <w:t>Amžiaus grupės (16–24; 16–29; 30–49; 50–pensinio)</w:t>
            </w:r>
          </w:p>
          <w:p w14:paraId="0270C512" w14:textId="77777777" w:rsidR="00C21ADE" w:rsidRPr="00EC247F" w:rsidRDefault="00C21ADE" w:rsidP="00A90035">
            <w:pPr>
              <w:rPr>
                <w:lang w:val="lt-LT"/>
              </w:rPr>
            </w:pPr>
            <w:r w:rsidRPr="00EC247F">
              <w:rPr>
                <w:lang w:val="lt-LT"/>
              </w:rPr>
              <w:t xml:space="preserve">Išsilavinimas (pradinis; </w:t>
            </w:r>
            <w:r w:rsidRPr="00EC247F">
              <w:rPr>
                <w:lang w:val="lt-LT"/>
              </w:rPr>
              <w:lastRenderedPageBreak/>
              <w:t>pagrindinis; vidurinis; aukštesnysis; aukštasis neuniversitetinis; aukštasis universitetinis)</w:t>
            </w:r>
          </w:p>
        </w:tc>
        <w:tc>
          <w:tcPr>
            <w:tcW w:w="1727" w:type="dxa"/>
          </w:tcPr>
          <w:p w14:paraId="3B450540" w14:textId="0AF12CF5" w:rsidR="00C21ADE" w:rsidRPr="00EC247F" w:rsidRDefault="009A2124" w:rsidP="00695B8A">
            <w:pPr>
              <w:rPr>
                <w:lang w:val="lt-LT"/>
              </w:rPr>
            </w:pPr>
            <w:r w:rsidRPr="009A2124">
              <w:rPr>
                <w:lang w:val="lt-LT"/>
              </w:rPr>
              <w:lastRenderedPageBreak/>
              <w:t>Dalinai skelbiama (nėra lyties</w:t>
            </w:r>
            <w:r>
              <w:rPr>
                <w:lang w:val="lt-LT"/>
              </w:rPr>
              <w:t xml:space="preserve">, amžiaus, išsilavinimo dimensijų, pateikiami </w:t>
            </w:r>
            <w:r>
              <w:rPr>
                <w:lang w:val="lt-LT"/>
              </w:rPr>
              <w:lastRenderedPageBreak/>
              <w:t>absoliutūs sk.</w:t>
            </w:r>
            <w:r w:rsidRPr="009A2124">
              <w:rPr>
                <w:lang w:val="lt-LT"/>
              </w:rPr>
              <w:t>)</w:t>
            </w:r>
          </w:p>
        </w:tc>
        <w:tc>
          <w:tcPr>
            <w:tcW w:w="1243" w:type="dxa"/>
            <w:gridSpan w:val="2"/>
          </w:tcPr>
          <w:p w14:paraId="61E74D8E" w14:textId="77777777" w:rsidR="00C21ADE" w:rsidRPr="00EC247F" w:rsidRDefault="00C21ADE" w:rsidP="00695B8A">
            <w:pPr>
              <w:rPr>
                <w:lang w:val="lt-LT"/>
              </w:rPr>
            </w:pPr>
            <w:r w:rsidRPr="00EC247F">
              <w:rPr>
                <w:lang w:val="lt-LT"/>
              </w:rPr>
              <w:lastRenderedPageBreak/>
              <w:t>Darbo birža</w:t>
            </w:r>
          </w:p>
        </w:tc>
        <w:tc>
          <w:tcPr>
            <w:tcW w:w="6750" w:type="dxa"/>
          </w:tcPr>
          <w:p w14:paraId="0197213F" w14:textId="77777777" w:rsidR="00C21ADE" w:rsidRPr="00EC247F" w:rsidRDefault="003302B8" w:rsidP="003D6DC2">
            <w:pPr>
              <w:rPr>
                <w:lang w:val="lt-LT"/>
              </w:rPr>
            </w:pPr>
            <w:r w:rsidRPr="00EC247F">
              <w:rPr>
                <w:lang w:val="lt-LT"/>
              </w:rPr>
              <w:t>Rodikliai, susiję su nedarbu</w:t>
            </w:r>
            <w:r w:rsidR="001A61D8" w:rsidRPr="00EC247F">
              <w:rPr>
                <w:lang w:val="lt-LT"/>
              </w:rPr>
              <w:t xml:space="preserve">, turėtų būti įvertinti ne tik lyties, bet ir amžiaus bei išsilavinimo požiūriu. Tai </w:t>
            </w:r>
            <w:r w:rsidR="00402E67" w:rsidRPr="00EC247F">
              <w:rPr>
                <w:lang w:val="lt-LT"/>
              </w:rPr>
              <w:t>leidžia</w:t>
            </w:r>
            <w:r w:rsidR="001A61D8" w:rsidRPr="00EC247F">
              <w:rPr>
                <w:lang w:val="lt-LT"/>
              </w:rPr>
              <w:t xml:space="preserve"> </w:t>
            </w:r>
            <w:r w:rsidR="00402E67" w:rsidRPr="00EC247F">
              <w:rPr>
                <w:lang w:val="lt-LT"/>
              </w:rPr>
              <w:t>nustatyti</w:t>
            </w:r>
            <w:r w:rsidR="001A61D8" w:rsidRPr="00EC247F">
              <w:rPr>
                <w:lang w:val="lt-LT"/>
              </w:rPr>
              <w:t xml:space="preserve">, kokį poveikį išsilavinimas ir amžius daro lyčių (ne)lygybei </w:t>
            </w:r>
            <w:r w:rsidR="00402E67" w:rsidRPr="00EC247F">
              <w:rPr>
                <w:lang w:val="lt-LT"/>
              </w:rPr>
              <w:t xml:space="preserve">darbo rinkoje </w:t>
            </w:r>
            <w:r w:rsidR="001A61D8" w:rsidRPr="00EC247F">
              <w:rPr>
                <w:lang w:val="lt-LT"/>
              </w:rPr>
              <w:t>ir ieškoti problemos židinių.</w:t>
            </w:r>
          </w:p>
          <w:p w14:paraId="1DE32D81" w14:textId="77777777" w:rsidR="00C21ADE" w:rsidRPr="00EC247F" w:rsidRDefault="00C21ADE" w:rsidP="003D6DC2">
            <w:pPr>
              <w:rPr>
                <w:lang w:val="lt-LT"/>
              </w:rPr>
            </w:pPr>
          </w:p>
          <w:p w14:paraId="4C180CC7" w14:textId="77777777" w:rsidR="009C29D9" w:rsidRDefault="008403D3" w:rsidP="009C29D9">
            <w:pPr>
              <w:rPr>
                <w:lang w:val="lt-LT"/>
              </w:rPr>
            </w:pPr>
            <w:r w:rsidRPr="00EC247F">
              <w:rPr>
                <w:lang w:val="lt-LT"/>
              </w:rPr>
              <w:t xml:space="preserve">Rodiklis </w:t>
            </w:r>
            <w:r w:rsidR="00CE6729" w:rsidRPr="00EC247F">
              <w:rPr>
                <w:lang w:val="lt-LT"/>
              </w:rPr>
              <w:t>nurodo</w:t>
            </w:r>
            <w:r w:rsidRPr="00EC247F">
              <w:rPr>
                <w:lang w:val="lt-LT"/>
              </w:rPr>
              <w:t xml:space="preserve">, kokia </w:t>
            </w:r>
            <w:r w:rsidR="00CE6729" w:rsidRPr="00EC247F">
              <w:rPr>
                <w:lang w:val="lt-LT"/>
              </w:rPr>
              <w:t xml:space="preserve">registruotų bedarbių struktūra pagal lytį, amžių, ir išsilavinimą </w:t>
            </w:r>
            <w:r w:rsidRPr="00EC247F">
              <w:rPr>
                <w:lang w:val="lt-LT"/>
              </w:rPr>
              <w:t>(procentais</w:t>
            </w:r>
            <w:r w:rsidR="001012BC" w:rsidRPr="00EC247F">
              <w:rPr>
                <w:lang w:val="lt-LT"/>
              </w:rPr>
              <w:t xml:space="preserve"> nuo visų registruotų</w:t>
            </w:r>
            <w:r w:rsidRPr="00EC247F">
              <w:rPr>
                <w:lang w:val="lt-LT"/>
              </w:rPr>
              <w:t>)</w:t>
            </w:r>
            <w:r w:rsidR="00CE6729" w:rsidRPr="00EC247F">
              <w:rPr>
                <w:lang w:val="lt-LT"/>
              </w:rPr>
              <w:t>.</w:t>
            </w:r>
            <w:r w:rsidR="009C3FD0">
              <w:rPr>
                <w:lang w:val="lt-LT"/>
              </w:rPr>
              <w:t xml:space="preserve"> </w:t>
            </w:r>
          </w:p>
          <w:p w14:paraId="5837C241" w14:textId="77777777" w:rsidR="009C3FD0" w:rsidRDefault="009C3FD0" w:rsidP="009C29D9">
            <w:pPr>
              <w:rPr>
                <w:lang w:val="lt-LT"/>
              </w:rPr>
            </w:pPr>
          </w:p>
          <w:p w14:paraId="41E09D25" w14:textId="77777777" w:rsidR="00C21ADE" w:rsidRDefault="00C21ADE" w:rsidP="009C29D9">
            <w:pPr>
              <w:rPr>
                <w:i/>
                <w:lang w:val="lt-LT"/>
              </w:rPr>
            </w:pPr>
            <w:r w:rsidRPr="002B53DE">
              <w:rPr>
                <w:b/>
                <w:i/>
                <w:lang w:val="lt-LT"/>
              </w:rPr>
              <w:t>Pensinio amžiaus gyventojai</w:t>
            </w:r>
            <w:r w:rsidRPr="002B53DE">
              <w:rPr>
                <w:i/>
                <w:lang w:val="lt-LT"/>
              </w:rPr>
              <w:t xml:space="preserve"> – asmenys, sulaukę teisės aktų nustatyto senatvės pensijos amžiaus, ir vyresni</w:t>
            </w:r>
            <w:r w:rsidRPr="002B53DE">
              <w:rPr>
                <w:rStyle w:val="FootnoteReference"/>
                <w:i/>
                <w:lang w:val="lt-LT"/>
              </w:rPr>
              <w:footnoteReference w:id="35"/>
            </w:r>
            <w:r w:rsidRPr="002B53DE">
              <w:rPr>
                <w:i/>
                <w:lang w:val="lt-LT"/>
              </w:rPr>
              <w:t xml:space="preserve"> (2017 m. vyrai – 63 metai 6 mėn., moterys – 62 metai).</w:t>
            </w:r>
            <w:r w:rsidRPr="002B53DE">
              <w:rPr>
                <w:rStyle w:val="FootnoteReference"/>
                <w:i/>
                <w:lang w:val="lt-LT"/>
              </w:rPr>
              <w:footnoteReference w:id="36"/>
            </w:r>
          </w:p>
          <w:p w14:paraId="60F976F8" w14:textId="77777777" w:rsidR="009C29D9" w:rsidRDefault="009C29D9" w:rsidP="009C29D9">
            <w:pPr>
              <w:rPr>
                <w:i/>
                <w:lang w:val="lt-LT"/>
              </w:rPr>
            </w:pPr>
          </w:p>
          <w:p w14:paraId="5D5602D3" w14:textId="7D7E114C" w:rsidR="009C29D9" w:rsidRPr="00EC247F" w:rsidRDefault="00547203" w:rsidP="009C29D9">
            <w:pPr>
              <w:rPr>
                <w:lang w:val="lt-LT"/>
              </w:rPr>
            </w:pPr>
            <w:r w:rsidRPr="009C29D9">
              <w:rPr>
                <w:u w:val="single"/>
                <w:lang w:val="lt-LT"/>
              </w:rPr>
              <w:t>PASIŪLYMAS</w:t>
            </w:r>
            <w:r>
              <w:rPr>
                <w:lang w:val="lt-LT"/>
              </w:rPr>
              <w:t>:</w:t>
            </w:r>
            <w:r w:rsidR="009C29D9">
              <w:rPr>
                <w:lang w:val="lt-LT"/>
              </w:rPr>
              <w:t xml:space="preserve"> </w:t>
            </w:r>
            <w:r w:rsidR="009C3FD0">
              <w:rPr>
                <w:lang w:val="lt-LT"/>
              </w:rPr>
              <w:t>geriausia būtų skaičiuo</w:t>
            </w:r>
            <w:r w:rsidR="009C29D9" w:rsidRPr="002B53DE">
              <w:rPr>
                <w:lang w:val="lt-LT"/>
              </w:rPr>
              <w:t xml:space="preserve">ti ir </w:t>
            </w:r>
            <w:r w:rsidR="009C3FD0">
              <w:rPr>
                <w:lang w:val="lt-LT"/>
              </w:rPr>
              <w:t xml:space="preserve">a) </w:t>
            </w:r>
            <w:r w:rsidR="009C29D9" w:rsidRPr="002B53DE">
              <w:rPr>
                <w:lang w:val="lt-LT"/>
              </w:rPr>
              <w:t xml:space="preserve">procentais, ir </w:t>
            </w:r>
            <w:r w:rsidR="009C3FD0">
              <w:rPr>
                <w:lang w:val="lt-LT"/>
              </w:rPr>
              <w:t xml:space="preserve">b) </w:t>
            </w:r>
            <w:r w:rsidR="009C29D9" w:rsidRPr="002B53DE">
              <w:rPr>
                <w:lang w:val="lt-LT"/>
              </w:rPr>
              <w:t>sk., tenkantį 1 tūkst. gyventojų.</w:t>
            </w:r>
          </w:p>
          <w:p w14:paraId="5158876A" w14:textId="51AF01B0" w:rsidR="009C29D9" w:rsidRPr="002B53DE" w:rsidRDefault="009C29D9" w:rsidP="009C29D9">
            <w:pPr>
              <w:rPr>
                <w:i/>
                <w:lang w:val="lt-LT"/>
              </w:rPr>
            </w:pPr>
          </w:p>
        </w:tc>
      </w:tr>
      <w:tr w:rsidR="00C21ADE" w:rsidRPr="00485D1C" w14:paraId="600F8EDB" w14:textId="77777777" w:rsidTr="00AD1B26">
        <w:trPr>
          <w:jc w:val="center"/>
        </w:trPr>
        <w:tc>
          <w:tcPr>
            <w:tcW w:w="570" w:type="dxa"/>
          </w:tcPr>
          <w:p w14:paraId="2A520202" w14:textId="6E242DD9" w:rsidR="00C21ADE" w:rsidRPr="00EC247F" w:rsidRDefault="00C21ADE" w:rsidP="00F0159F">
            <w:pPr>
              <w:rPr>
                <w:lang w:val="lt-LT"/>
              </w:rPr>
            </w:pPr>
            <w:r w:rsidRPr="00EC247F">
              <w:rPr>
                <w:lang w:val="lt-LT"/>
              </w:rPr>
              <w:lastRenderedPageBreak/>
              <w:t>1</w:t>
            </w:r>
            <w:r w:rsidR="00741A16" w:rsidRPr="00EC247F">
              <w:rPr>
                <w:lang w:val="lt-LT"/>
              </w:rPr>
              <w:t>4</w:t>
            </w:r>
            <w:r w:rsidRPr="00EC247F">
              <w:rPr>
                <w:lang w:val="lt-LT"/>
              </w:rPr>
              <w:t>.</w:t>
            </w:r>
          </w:p>
        </w:tc>
        <w:tc>
          <w:tcPr>
            <w:tcW w:w="3115" w:type="dxa"/>
          </w:tcPr>
          <w:p w14:paraId="2723CB70" w14:textId="77777777" w:rsidR="00C21ADE" w:rsidRPr="002B53DE" w:rsidRDefault="00C21ADE" w:rsidP="00F0159F">
            <w:pPr>
              <w:rPr>
                <w:lang w:val="lt-LT"/>
              </w:rPr>
            </w:pPr>
            <w:r w:rsidRPr="002B53DE">
              <w:rPr>
                <w:lang w:val="lt-LT"/>
              </w:rPr>
              <w:t>Registruotų bedarbių nedarbo trukmė</w:t>
            </w:r>
          </w:p>
        </w:tc>
        <w:tc>
          <w:tcPr>
            <w:tcW w:w="2340" w:type="dxa"/>
          </w:tcPr>
          <w:p w14:paraId="234050D2" w14:textId="77777777" w:rsidR="00C21ADE" w:rsidRPr="002B53DE" w:rsidRDefault="00C21ADE" w:rsidP="00F0159F">
            <w:pPr>
              <w:rPr>
                <w:lang w:val="lt-LT"/>
              </w:rPr>
            </w:pPr>
            <w:r w:rsidRPr="002B53DE">
              <w:rPr>
                <w:lang w:val="lt-LT"/>
              </w:rPr>
              <w:t>Lytis</w:t>
            </w:r>
          </w:p>
          <w:p w14:paraId="7569468D" w14:textId="77777777" w:rsidR="00C21ADE" w:rsidRPr="002B53DE" w:rsidRDefault="00C21ADE" w:rsidP="00F0159F">
            <w:pPr>
              <w:rPr>
                <w:lang w:val="lt-LT"/>
              </w:rPr>
            </w:pPr>
            <w:r w:rsidRPr="002B53DE">
              <w:rPr>
                <w:lang w:val="lt-LT"/>
              </w:rPr>
              <w:t>Savivaldybės</w:t>
            </w:r>
          </w:p>
          <w:p w14:paraId="62C48D40" w14:textId="77777777" w:rsidR="00C21ADE" w:rsidRPr="002B53DE" w:rsidRDefault="00C21ADE" w:rsidP="00F0159F">
            <w:pPr>
              <w:rPr>
                <w:lang w:val="lt-LT"/>
              </w:rPr>
            </w:pPr>
            <w:r w:rsidRPr="002B53DE">
              <w:rPr>
                <w:lang w:val="lt-LT"/>
              </w:rPr>
              <w:t>Amžiaus grupės</w:t>
            </w:r>
          </w:p>
          <w:p w14:paraId="296BBE2C" w14:textId="77777777" w:rsidR="00D67815" w:rsidRPr="002B53DE" w:rsidRDefault="00D67815" w:rsidP="00D67815">
            <w:pPr>
              <w:rPr>
                <w:lang w:val="lt-LT"/>
              </w:rPr>
            </w:pPr>
          </w:p>
          <w:p w14:paraId="256B635F" w14:textId="77777777" w:rsidR="00D67815" w:rsidRPr="005C7590" w:rsidRDefault="00C21ADE" w:rsidP="00D67815">
            <w:pPr>
              <w:rPr>
                <w:lang w:val="lt-LT"/>
              </w:rPr>
            </w:pPr>
            <w:r w:rsidRPr="005C7590">
              <w:rPr>
                <w:lang w:val="lt-LT"/>
              </w:rPr>
              <w:t xml:space="preserve">Nedarbo trukmė </w:t>
            </w:r>
          </w:p>
          <w:p w14:paraId="23CFEEA2" w14:textId="77777777" w:rsidR="00D67815" w:rsidRPr="005C7590" w:rsidRDefault="00240D2F" w:rsidP="00D67815">
            <w:pPr>
              <w:rPr>
                <w:i/>
                <w:lang w:val="lt-LT"/>
              </w:rPr>
            </w:pPr>
            <w:r w:rsidRPr="005C7590">
              <w:rPr>
                <w:lang w:val="lt-LT"/>
              </w:rPr>
              <w:t xml:space="preserve">a) </w:t>
            </w:r>
            <w:r w:rsidR="00D67815" w:rsidRPr="005C7590">
              <w:rPr>
                <w:i/>
                <w:lang w:val="lt-LT"/>
              </w:rPr>
              <w:t>16-24 m. amžiaus:</w:t>
            </w:r>
          </w:p>
          <w:p w14:paraId="7B027C63" w14:textId="77777777" w:rsidR="00D67815" w:rsidRPr="005C7590" w:rsidRDefault="00D67815" w:rsidP="00D67815">
            <w:pPr>
              <w:rPr>
                <w:lang w:val="lt-LT"/>
              </w:rPr>
            </w:pPr>
            <w:r w:rsidRPr="005C7590">
              <w:rPr>
                <w:lang w:val="lt-LT"/>
              </w:rPr>
              <w:t>Iki 6 mėn.;</w:t>
            </w:r>
          </w:p>
          <w:p w14:paraId="296AE35E" w14:textId="77777777" w:rsidR="00D67815" w:rsidRPr="005C7590" w:rsidRDefault="00D67815" w:rsidP="00D67815">
            <w:pPr>
              <w:rPr>
                <w:lang w:val="lt-LT"/>
              </w:rPr>
            </w:pPr>
            <w:r w:rsidRPr="005C7590">
              <w:rPr>
                <w:lang w:val="lt-LT"/>
              </w:rPr>
              <w:t>6 mėn. ir ilgiau</w:t>
            </w:r>
          </w:p>
          <w:p w14:paraId="04A15B4D" w14:textId="77777777" w:rsidR="00D67815" w:rsidRPr="005C7590" w:rsidRDefault="00240D2F" w:rsidP="00D67815">
            <w:pPr>
              <w:rPr>
                <w:i/>
                <w:lang w:val="lt-LT"/>
              </w:rPr>
            </w:pPr>
            <w:r w:rsidRPr="005C7590">
              <w:rPr>
                <w:lang w:val="lt-LT"/>
              </w:rPr>
              <w:t>b)</w:t>
            </w:r>
            <w:r w:rsidRPr="005C7590">
              <w:rPr>
                <w:i/>
                <w:lang w:val="lt-LT"/>
              </w:rPr>
              <w:t xml:space="preserve"> </w:t>
            </w:r>
            <w:r w:rsidR="00D67815" w:rsidRPr="005C7590">
              <w:rPr>
                <w:i/>
                <w:lang w:val="lt-LT"/>
              </w:rPr>
              <w:t>25 m. ir vyresni:</w:t>
            </w:r>
          </w:p>
          <w:p w14:paraId="3D385DC2" w14:textId="77777777" w:rsidR="00D67815" w:rsidRPr="005C7590" w:rsidRDefault="00D67815" w:rsidP="00D67815">
            <w:pPr>
              <w:rPr>
                <w:lang w:val="lt-LT"/>
              </w:rPr>
            </w:pPr>
            <w:r w:rsidRPr="005C7590">
              <w:rPr>
                <w:lang w:val="lt-LT"/>
              </w:rPr>
              <w:t>Iki 12 mėn.;</w:t>
            </w:r>
          </w:p>
          <w:p w14:paraId="3671AB93" w14:textId="77777777" w:rsidR="00C21ADE" w:rsidRPr="002B53DE" w:rsidRDefault="00D67815" w:rsidP="00C37084">
            <w:pPr>
              <w:rPr>
                <w:lang w:val="lt-LT"/>
              </w:rPr>
            </w:pPr>
            <w:r w:rsidRPr="005C7590">
              <w:rPr>
                <w:lang w:val="lt-LT"/>
              </w:rPr>
              <w:t>12 mėn. ir ilgiau</w:t>
            </w:r>
          </w:p>
        </w:tc>
        <w:tc>
          <w:tcPr>
            <w:tcW w:w="1727" w:type="dxa"/>
          </w:tcPr>
          <w:p w14:paraId="5CEA267C" w14:textId="77777777" w:rsidR="00C21ADE" w:rsidRDefault="00C21ADE" w:rsidP="00695B8A">
            <w:pPr>
              <w:rPr>
                <w:lang w:val="lt-LT"/>
              </w:rPr>
            </w:pPr>
            <w:r w:rsidRPr="00EC247F">
              <w:rPr>
                <w:lang w:val="lt-LT"/>
              </w:rPr>
              <w:t>2018 m.</w:t>
            </w:r>
          </w:p>
          <w:p w14:paraId="41D006E9" w14:textId="1DD354B7" w:rsidR="003673C3" w:rsidRPr="00EC247F" w:rsidRDefault="003673C3" w:rsidP="00695B8A">
            <w:pPr>
              <w:rPr>
                <w:lang w:val="lt-LT"/>
              </w:rPr>
            </w:pPr>
            <w:r>
              <w:rPr>
                <w:lang w:val="lt-LT"/>
              </w:rPr>
              <w:t>Naujas rodiklis</w:t>
            </w:r>
          </w:p>
        </w:tc>
        <w:tc>
          <w:tcPr>
            <w:tcW w:w="1243" w:type="dxa"/>
            <w:gridSpan w:val="2"/>
          </w:tcPr>
          <w:p w14:paraId="64A5F0AF" w14:textId="77777777" w:rsidR="00C21ADE" w:rsidRPr="00EC247F" w:rsidRDefault="00C21ADE" w:rsidP="00695B8A">
            <w:pPr>
              <w:rPr>
                <w:lang w:val="lt-LT"/>
              </w:rPr>
            </w:pPr>
            <w:r w:rsidRPr="00EC247F">
              <w:rPr>
                <w:lang w:val="lt-LT"/>
              </w:rPr>
              <w:t>Darbo birža</w:t>
            </w:r>
          </w:p>
        </w:tc>
        <w:tc>
          <w:tcPr>
            <w:tcW w:w="6750" w:type="dxa"/>
          </w:tcPr>
          <w:p w14:paraId="73142BA0" w14:textId="37A5E6EA" w:rsidR="00C21ADE" w:rsidRDefault="00D67815" w:rsidP="001F2DC6">
            <w:pPr>
              <w:rPr>
                <w:lang w:val="lt-LT"/>
              </w:rPr>
            </w:pPr>
            <w:r w:rsidRPr="00EC247F">
              <w:rPr>
                <w:lang w:val="lt-LT"/>
              </w:rPr>
              <w:t xml:space="preserve">Rodiklis parodo, kaip </w:t>
            </w:r>
            <w:r w:rsidR="00400112" w:rsidRPr="00EC247F">
              <w:rPr>
                <w:lang w:val="lt-LT"/>
              </w:rPr>
              <w:t xml:space="preserve">registruoti </w:t>
            </w:r>
            <w:r w:rsidRPr="00EC247F">
              <w:rPr>
                <w:lang w:val="lt-LT"/>
              </w:rPr>
              <w:t>bedarbiai pasiskirsto pagal lytį, amžių ir nedarbo trukmę</w:t>
            </w:r>
            <w:r w:rsidR="00C37084" w:rsidRPr="00EC247F">
              <w:rPr>
                <w:lang w:val="lt-LT"/>
              </w:rPr>
              <w:t xml:space="preserve"> (procentais nuo visų registruotų)</w:t>
            </w:r>
            <w:r w:rsidRPr="00EC247F">
              <w:rPr>
                <w:lang w:val="lt-LT"/>
              </w:rPr>
              <w:t>.</w:t>
            </w:r>
            <w:r w:rsidR="001012BC" w:rsidRPr="00EC247F">
              <w:rPr>
                <w:lang w:val="lt-LT"/>
              </w:rPr>
              <w:t xml:space="preserve"> Tai leidžia įvertinti, </w:t>
            </w:r>
            <w:r w:rsidR="001F2DC6" w:rsidRPr="00EC247F">
              <w:rPr>
                <w:lang w:val="lt-LT"/>
              </w:rPr>
              <w:t xml:space="preserve">kokio amžiaus </w:t>
            </w:r>
            <w:r w:rsidR="003673C3" w:rsidRPr="003673C3">
              <w:rPr>
                <w:lang w:val="lt-LT"/>
              </w:rPr>
              <w:t xml:space="preserve">moterys </w:t>
            </w:r>
            <w:r w:rsidR="001F2DC6" w:rsidRPr="00EC247F">
              <w:rPr>
                <w:lang w:val="lt-LT"/>
              </w:rPr>
              <w:t xml:space="preserve">ir </w:t>
            </w:r>
            <w:r w:rsidR="003673C3">
              <w:rPr>
                <w:lang w:val="lt-LT"/>
              </w:rPr>
              <w:t xml:space="preserve">vyrai </w:t>
            </w:r>
            <w:r w:rsidR="001012BC" w:rsidRPr="00EC247F">
              <w:rPr>
                <w:lang w:val="lt-LT"/>
              </w:rPr>
              <w:t>dažniau susiduria su ilgalaikiu nedarbu.</w:t>
            </w:r>
          </w:p>
          <w:p w14:paraId="1CA694C8" w14:textId="77777777" w:rsidR="00AE395D" w:rsidRDefault="00AE395D" w:rsidP="001F2DC6">
            <w:pPr>
              <w:rPr>
                <w:lang w:val="lt-LT"/>
              </w:rPr>
            </w:pPr>
          </w:p>
          <w:p w14:paraId="3DA68AF5" w14:textId="3EF1FB40" w:rsidR="00AE395D" w:rsidRPr="007E6715" w:rsidRDefault="00AE395D" w:rsidP="001F2DC6">
            <w:pPr>
              <w:rPr>
                <w:lang w:val="lt-LT"/>
              </w:rPr>
            </w:pPr>
            <w:r>
              <w:rPr>
                <w:lang w:val="lt-LT"/>
              </w:rPr>
              <w:t xml:space="preserve">Nedarbo trukmė apibrėžiama </w:t>
            </w:r>
            <w:r w:rsidR="007E6715">
              <w:rPr>
                <w:lang w:val="lt-LT"/>
              </w:rPr>
              <w:t xml:space="preserve">pagal Lietuvos Respublikos užimtumo įstatymą, kur </w:t>
            </w:r>
            <w:r w:rsidR="005C7590">
              <w:rPr>
                <w:lang w:val="lt-LT"/>
              </w:rPr>
              <w:t xml:space="preserve">prie </w:t>
            </w:r>
            <w:r w:rsidR="005C7590" w:rsidRPr="005C7590">
              <w:rPr>
                <w:lang w:val="lt-LT"/>
              </w:rPr>
              <w:t>dar</w:t>
            </w:r>
            <w:r w:rsidR="005C7590">
              <w:rPr>
                <w:lang w:val="lt-LT"/>
              </w:rPr>
              <w:t>bo rinkoje papildomai remiamų asmenų</w:t>
            </w:r>
            <w:r w:rsidR="005C7590" w:rsidRPr="005C7590">
              <w:rPr>
                <w:lang w:val="lt-LT"/>
              </w:rPr>
              <w:t xml:space="preserve"> </w:t>
            </w:r>
            <w:r w:rsidR="005C7590">
              <w:rPr>
                <w:lang w:val="lt-LT"/>
              </w:rPr>
              <w:t>priskiriami</w:t>
            </w:r>
            <w:r w:rsidR="005C7590" w:rsidRPr="005C7590">
              <w:rPr>
                <w:lang w:val="lt-LT"/>
              </w:rPr>
              <w:t xml:space="preserve"> </w:t>
            </w:r>
            <w:r w:rsidR="007E6715" w:rsidRPr="005C7590">
              <w:rPr>
                <w:i/>
                <w:lang w:val="lt-LT"/>
              </w:rPr>
              <w:t>ilgalaikiai bedarbiai iki 25 metų, kurių nedarbo trukmė ilgesnė kaip 6 mėnesiai, ir ilgalaikiai bedarbiai nuo 25 metų, kurių nedarbo trukmė ilgesnė kaip 12 mėnesių, skaičiuojant nuo įsiregistravimo teritorinėje darbo biržoje dienos</w:t>
            </w:r>
            <w:r w:rsidR="005C7590">
              <w:rPr>
                <w:rStyle w:val="FootnoteReference"/>
                <w:i/>
                <w:lang w:val="lt-LT"/>
              </w:rPr>
              <w:footnoteReference w:id="37"/>
            </w:r>
            <w:r w:rsidR="005C7590">
              <w:rPr>
                <w:i/>
                <w:lang w:val="lt-LT"/>
              </w:rPr>
              <w:t>.</w:t>
            </w:r>
          </w:p>
          <w:p w14:paraId="4D0F53D2" w14:textId="654F2BE3" w:rsidR="001F2DC6" w:rsidRPr="00EC247F" w:rsidRDefault="001F2DC6" w:rsidP="001F2DC6">
            <w:pPr>
              <w:rPr>
                <w:lang w:val="lt-LT"/>
              </w:rPr>
            </w:pPr>
          </w:p>
        </w:tc>
      </w:tr>
      <w:tr w:rsidR="00C21ADE" w:rsidRPr="00EC247F" w14:paraId="51618B07" w14:textId="77777777" w:rsidTr="00AD1B26">
        <w:trPr>
          <w:jc w:val="center"/>
        </w:trPr>
        <w:tc>
          <w:tcPr>
            <w:tcW w:w="570" w:type="dxa"/>
          </w:tcPr>
          <w:p w14:paraId="4FE85328" w14:textId="77777777" w:rsidR="00C21ADE" w:rsidRPr="00EC247F" w:rsidRDefault="00C21ADE" w:rsidP="00695B8A">
            <w:pPr>
              <w:rPr>
                <w:lang w:val="lt-LT"/>
              </w:rPr>
            </w:pPr>
            <w:r w:rsidRPr="00EC247F">
              <w:rPr>
                <w:lang w:val="lt-LT"/>
              </w:rPr>
              <w:t>1</w:t>
            </w:r>
            <w:r w:rsidR="00741A16" w:rsidRPr="00EC247F">
              <w:rPr>
                <w:lang w:val="lt-LT"/>
              </w:rPr>
              <w:t>5</w:t>
            </w:r>
            <w:r w:rsidRPr="00EC247F">
              <w:rPr>
                <w:lang w:val="lt-LT"/>
              </w:rPr>
              <w:t>.</w:t>
            </w:r>
          </w:p>
        </w:tc>
        <w:tc>
          <w:tcPr>
            <w:tcW w:w="3115" w:type="dxa"/>
          </w:tcPr>
          <w:p w14:paraId="1ECAF914" w14:textId="77777777" w:rsidR="002F1136" w:rsidRPr="002B53DE" w:rsidRDefault="002F1136" w:rsidP="002F1136">
            <w:pPr>
              <w:rPr>
                <w:lang w:val="lt-LT"/>
              </w:rPr>
            </w:pPr>
            <w:r w:rsidRPr="002B53DE">
              <w:rPr>
                <w:lang w:val="lt-LT"/>
              </w:rPr>
              <w:t>Valstybinio socialinio draudimo tėvystės išmoka 30 kalendorinių dienų iki vaikui sukaks 3 mėn. (iki 2017 m. liepos 1 d.</w:t>
            </w:r>
            <w:r w:rsidRPr="002B53DE">
              <w:rPr>
                <w:i/>
                <w:lang w:val="lt-LT"/>
              </w:rPr>
              <w:t xml:space="preserve"> – </w:t>
            </w:r>
            <w:r w:rsidR="00906802" w:rsidRPr="002B53DE">
              <w:rPr>
                <w:lang w:val="lt-LT"/>
              </w:rPr>
              <w:t xml:space="preserve">iki </w:t>
            </w:r>
            <w:r w:rsidR="00F83709" w:rsidRPr="002B53DE">
              <w:rPr>
                <w:lang w:val="lt-LT"/>
              </w:rPr>
              <w:t>vaikui sukaks 1 mėn.</w:t>
            </w:r>
            <w:r w:rsidRPr="002B53DE">
              <w:rPr>
                <w:lang w:val="lt-LT"/>
              </w:rPr>
              <w:t>)</w:t>
            </w:r>
            <w:r w:rsidRPr="002B53DE">
              <w:rPr>
                <w:rStyle w:val="FootnoteReference"/>
                <w:lang w:val="lt-LT"/>
              </w:rPr>
              <w:footnoteReference w:id="38"/>
            </w:r>
          </w:p>
        </w:tc>
        <w:tc>
          <w:tcPr>
            <w:tcW w:w="2340" w:type="dxa"/>
          </w:tcPr>
          <w:p w14:paraId="6BC23C0B" w14:textId="77777777" w:rsidR="00C21ADE" w:rsidRPr="002B53DE" w:rsidRDefault="00C21ADE" w:rsidP="00695B8A">
            <w:pPr>
              <w:rPr>
                <w:lang w:val="lt-LT"/>
              </w:rPr>
            </w:pPr>
            <w:r w:rsidRPr="002B53DE">
              <w:rPr>
                <w:lang w:val="lt-LT"/>
              </w:rPr>
              <w:t xml:space="preserve">Savivaldybės </w:t>
            </w:r>
          </w:p>
        </w:tc>
        <w:tc>
          <w:tcPr>
            <w:tcW w:w="1727" w:type="dxa"/>
          </w:tcPr>
          <w:p w14:paraId="2F697DD1" w14:textId="77777777" w:rsidR="00C21ADE" w:rsidRDefault="00C21ADE" w:rsidP="00695B8A">
            <w:pPr>
              <w:rPr>
                <w:lang w:val="lt-LT"/>
              </w:rPr>
            </w:pPr>
            <w:r w:rsidRPr="00EC247F">
              <w:rPr>
                <w:lang w:val="lt-LT"/>
              </w:rPr>
              <w:t>Nuo 2006 m.</w:t>
            </w:r>
          </w:p>
          <w:p w14:paraId="158672A7" w14:textId="7D0C9510" w:rsidR="003673C3" w:rsidRPr="00EC247F" w:rsidRDefault="003673C3" w:rsidP="00695B8A">
            <w:pPr>
              <w:rPr>
                <w:lang w:val="lt-LT"/>
              </w:rPr>
            </w:pPr>
            <w:r w:rsidRPr="005C7590">
              <w:rPr>
                <w:lang w:val="lt-LT"/>
              </w:rPr>
              <w:t>Skelbiama</w:t>
            </w:r>
          </w:p>
        </w:tc>
        <w:tc>
          <w:tcPr>
            <w:tcW w:w="1243" w:type="dxa"/>
            <w:gridSpan w:val="2"/>
          </w:tcPr>
          <w:p w14:paraId="61E91F7F" w14:textId="77777777" w:rsidR="00C21ADE" w:rsidRPr="00EC247F" w:rsidRDefault="00C21ADE" w:rsidP="00695B8A">
            <w:pPr>
              <w:rPr>
                <w:lang w:val="lt-LT"/>
              </w:rPr>
            </w:pPr>
            <w:r w:rsidRPr="00EC247F">
              <w:rPr>
                <w:lang w:val="lt-LT"/>
              </w:rPr>
              <w:t>LSD</w:t>
            </w:r>
            <w:r w:rsidR="00D67815" w:rsidRPr="00EC247F">
              <w:rPr>
                <w:lang w:val="lt-LT"/>
              </w:rPr>
              <w:t>/ SODRA</w:t>
            </w:r>
          </w:p>
        </w:tc>
        <w:tc>
          <w:tcPr>
            <w:tcW w:w="6750" w:type="dxa"/>
          </w:tcPr>
          <w:p w14:paraId="476A3922" w14:textId="725674E1" w:rsidR="00C37084" w:rsidRPr="00EC247F" w:rsidRDefault="00C37084" w:rsidP="00695B8A">
            <w:pPr>
              <w:rPr>
                <w:lang w:val="lt-LT"/>
              </w:rPr>
            </w:pPr>
            <w:r w:rsidRPr="00EC247F">
              <w:rPr>
                <w:lang w:val="lt-LT"/>
              </w:rPr>
              <w:t>Netolygus darbo šeimoje pasidalijimas, kuomet moterys atlieka neproporcingai daugiau neapmokamo priežiūros darbo</w:t>
            </w:r>
            <w:r w:rsidR="008772A4" w:rsidRPr="00EC247F">
              <w:rPr>
                <w:lang w:val="lt-LT"/>
              </w:rPr>
              <w:t>,</w:t>
            </w:r>
            <w:r w:rsidRPr="00EC247F">
              <w:rPr>
                <w:lang w:val="lt-LT"/>
              </w:rPr>
              <w:t xml:space="preserve"> sukuria prielaidas moterų diskriminacijai darbe</w:t>
            </w:r>
            <w:r w:rsidRPr="00EC247F">
              <w:rPr>
                <w:rStyle w:val="FootnoteReference"/>
                <w:lang w:val="lt-LT"/>
              </w:rPr>
              <w:footnoteReference w:id="39"/>
            </w:r>
            <w:r w:rsidRPr="00EC247F">
              <w:rPr>
                <w:lang w:val="lt-LT"/>
              </w:rPr>
              <w:t xml:space="preserve">. </w:t>
            </w:r>
            <w:r w:rsidR="00467D45" w:rsidRPr="00EC247F">
              <w:rPr>
                <w:lang w:val="lt-LT"/>
              </w:rPr>
              <w:t xml:space="preserve">Todėl lyčių požiūriu svarbu turėti informaciją ne tik apie užimtus ir nedirbančius gyventojus savivaldybėse, bet ir duomenis apie tai, kiek vyrai </w:t>
            </w:r>
            <w:r w:rsidR="001468C1" w:rsidRPr="00EC247F">
              <w:rPr>
                <w:lang w:val="lt-LT"/>
              </w:rPr>
              <w:t xml:space="preserve">naudojasi galimybe </w:t>
            </w:r>
            <w:r w:rsidR="00467D45" w:rsidRPr="00EC247F">
              <w:rPr>
                <w:lang w:val="lt-LT"/>
              </w:rPr>
              <w:t>dalyvau</w:t>
            </w:r>
            <w:r w:rsidR="0053138C" w:rsidRPr="00EC247F">
              <w:rPr>
                <w:lang w:val="lt-LT"/>
              </w:rPr>
              <w:t>ti</w:t>
            </w:r>
            <w:r w:rsidR="00467D45" w:rsidRPr="00EC247F">
              <w:rPr>
                <w:lang w:val="lt-LT"/>
              </w:rPr>
              <w:t xml:space="preserve"> vaikų priežiūro</w:t>
            </w:r>
            <w:r w:rsidR="0053138C" w:rsidRPr="00EC247F">
              <w:rPr>
                <w:lang w:val="lt-LT"/>
              </w:rPr>
              <w:t>je</w:t>
            </w:r>
            <w:r w:rsidR="001468C1" w:rsidRPr="00EC247F">
              <w:rPr>
                <w:lang w:val="lt-LT"/>
              </w:rPr>
              <w:t xml:space="preserve"> pirmaisiais jų gyvenimo mėnesiais</w:t>
            </w:r>
            <w:r w:rsidR="00467D45" w:rsidRPr="00EC247F">
              <w:rPr>
                <w:lang w:val="lt-LT"/>
              </w:rPr>
              <w:t>.</w:t>
            </w:r>
            <w:r w:rsidR="0053138C" w:rsidRPr="00EC247F">
              <w:rPr>
                <w:lang w:val="lt-LT"/>
              </w:rPr>
              <w:t xml:space="preserve"> Į išmoką gali pretenduoti dirbantys</w:t>
            </w:r>
            <w:r w:rsidR="00084FD8" w:rsidRPr="00EC247F">
              <w:rPr>
                <w:lang w:val="lt-LT"/>
              </w:rPr>
              <w:t xml:space="preserve">, </w:t>
            </w:r>
            <w:r w:rsidR="0053138C" w:rsidRPr="00EC247F">
              <w:rPr>
                <w:lang w:val="lt-LT"/>
              </w:rPr>
              <w:t xml:space="preserve">iki pirmosios tėvystės atostogų dienos ne trumpesnį kaip 12 mėnesių </w:t>
            </w:r>
            <w:r w:rsidR="0053138C" w:rsidRPr="00EC247F">
              <w:rPr>
                <w:lang w:val="lt-LT"/>
              </w:rPr>
              <w:lastRenderedPageBreak/>
              <w:t>per paskutinius 24 mėnesius motinystės socialinio draudimo stažą sukaupę vyrai</w:t>
            </w:r>
            <w:r w:rsidR="006D483C" w:rsidRPr="00EC247F">
              <w:rPr>
                <w:lang w:val="lt-LT"/>
              </w:rPr>
              <w:t xml:space="preserve"> (su kai kuriomis išimtimis)</w:t>
            </w:r>
            <w:r w:rsidR="0053138C" w:rsidRPr="00EC247F">
              <w:rPr>
                <w:rStyle w:val="FootnoteReference"/>
                <w:lang w:val="lt-LT"/>
              </w:rPr>
              <w:footnoteReference w:id="40"/>
            </w:r>
            <w:r w:rsidR="0053138C" w:rsidRPr="00EC247F">
              <w:rPr>
                <w:lang w:val="lt-LT"/>
              </w:rPr>
              <w:t>.</w:t>
            </w:r>
          </w:p>
          <w:p w14:paraId="511E99B4" w14:textId="77777777" w:rsidR="00467D45" w:rsidRPr="00EC247F" w:rsidRDefault="00467D45" w:rsidP="00695B8A">
            <w:pPr>
              <w:rPr>
                <w:lang w:val="lt-LT"/>
              </w:rPr>
            </w:pPr>
          </w:p>
          <w:p w14:paraId="1DFB6BC1" w14:textId="3B09A495" w:rsidR="00C21ADE" w:rsidRPr="00EC247F" w:rsidRDefault="00796CAC" w:rsidP="004C08A4">
            <w:pPr>
              <w:rPr>
                <w:lang w:val="lt-LT"/>
              </w:rPr>
            </w:pPr>
            <w:r w:rsidRPr="00EC247F">
              <w:rPr>
                <w:lang w:val="lt-LT"/>
              </w:rPr>
              <w:t>Rodiklio išraiška – vidutinis metinis gavėjų skaičius</w:t>
            </w:r>
            <w:r w:rsidR="00702435">
              <w:rPr>
                <w:lang w:val="lt-LT"/>
              </w:rPr>
              <w:t>.</w:t>
            </w:r>
          </w:p>
        </w:tc>
      </w:tr>
      <w:tr w:rsidR="00C21ADE" w:rsidRPr="00EC247F" w14:paraId="4EBD42CA" w14:textId="77777777" w:rsidTr="00AD1B26">
        <w:trPr>
          <w:jc w:val="center"/>
        </w:trPr>
        <w:tc>
          <w:tcPr>
            <w:tcW w:w="570" w:type="dxa"/>
          </w:tcPr>
          <w:p w14:paraId="261F6310" w14:textId="77777777" w:rsidR="00C21ADE" w:rsidRPr="00EC247F" w:rsidRDefault="00C21ADE" w:rsidP="002D6625">
            <w:pPr>
              <w:rPr>
                <w:lang w:val="lt-LT"/>
              </w:rPr>
            </w:pPr>
            <w:r w:rsidRPr="00EC247F">
              <w:rPr>
                <w:lang w:val="lt-LT"/>
              </w:rPr>
              <w:lastRenderedPageBreak/>
              <w:t>1</w:t>
            </w:r>
            <w:r w:rsidR="00741A16" w:rsidRPr="00EC247F">
              <w:rPr>
                <w:lang w:val="lt-LT"/>
              </w:rPr>
              <w:t>6</w:t>
            </w:r>
            <w:r w:rsidRPr="00EC247F">
              <w:rPr>
                <w:lang w:val="lt-LT"/>
              </w:rPr>
              <w:t>.</w:t>
            </w:r>
          </w:p>
        </w:tc>
        <w:tc>
          <w:tcPr>
            <w:tcW w:w="3115" w:type="dxa"/>
          </w:tcPr>
          <w:p w14:paraId="1D281649" w14:textId="514011B5" w:rsidR="00C21ADE" w:rsidRPr="00EC247F" w:rsidRDefault="00C21ADE" w:rsidP="002D6625">
            <w:pPr>
              <w:rPr>
                <w:lang w:val="lt-LT"/>
              </w:rPr>
            </w:pPr>
            <w:r w:rsidRPr="00EC247F">
              <w:rPr>
                <w:lang w:val="lt-LT"/>
              </w:rPr>
              <w:t>Valstybinio socialinio draudimo vaiko priežiūros išmoka iki vaikui sukaks 1 metai</w:t>
            </w:r>
            <w:r w:rsidR="00BA575E" w:rsidRPr="00EC247F">
              <w:rPr>
                <w:lang w:val="lt-LT"/>
              </w:rPr>
              <w:t xml:space="preserve"> (iki 20</w:t>
            </w:r>
            <w:r w:rsidR="00745C2D">
              <w:rPr>
                <w:lang w:val="lt-LT"/>
              </w:rPr>
              <w:t>17 m. buvo vadinama motinystės/</w:t>
            </w:r>
            <w:r w:rsidR="00BA575E" w:rsidRPr="00EC247F">
              <w:rPr>
                <w:lang w:val="lt-LT"/>
              </w:rPr>
              <w:t>tėvystės pašalpa)</w:t>
            </w:r>
            <w:r w:rsidR="00CF73C8" w:rsidRPr="00EC247F">
              <w:rPr>
                <w:rStyle w:val="FootnoteReference"/>
                <w:lang w:val="lt-LT"/>
              </w:rPr>
              <w:footnoteReference w:id="41"/>
            </w:r>
          </w:p>
        </w:tc>
        <w:tc>
          <w:tcPr>
            <w:tcW w:w="2340" w:type="dxa"/>
          </w:tcPr>
          <w:p w14:paraId="25EBAE36" w14:textId="77777777" w:rsidR="008403D3" w:rsidRPr="00EC247F" w:rsidRDefault="008403D3" w:rsidP="002D6625">
            <w:pPr>
              <w:rPr>
                <w:lang w:val="lt-LT"/>
              </w:rPr>
            </w:pPr>
            <w:r w:rsidRPr="00EC247F">
              <w:rPr>
                <w:lang w:val="lt-LT"/>
              </w:rPr>
              <w:t>Lytis</w:t>
            </w:r>
          </w:p>
          <w:p w14:paraId="5D87103A" w14:textId="77777777" w:rsidR="00C21ADE" w:rsidRPr="00EC247F" w:rsidRDefault="00C21ADE" w:rsidP="002D6625">
            <w:pPr>
              <w:rPr>
                <w:lang w:val="lt-LT"/>
              </w:rPr>
            </w:pPr>
            <w:r w:rsidRPr="00EC247F">
              <w:rPr>
                <w:lang w:val="lt-LT"/>
              </w:rPr>
              <w:t xml:space="preserve">Savivaldybės </w:t>
            </w:r>
          </w:p>
        </w:tc>
        <w:tc>
          <w:tcPr>
            <w:tcW w:w="1727" w:type="dxa"/>
          </w:tcPr>
          <w:p w14:paraId="66BF745B" w14:textId="77777777" w:rsidR="00C21ADE" w:rsidRDefault="00C21ADE" w:rsidP="002D6625">
            <w:pPr>
              <w:rPr>
                <w:lang w:val="lt-LT"/>
              </w:rPr>
            </w:pPr>
            <w:r w:rsidRPr="00EC247F">
              <w:rPr>
                <w:lang w:val="lt-LT"/>
              </w:rPr>
              <w:t>Nuo 2011 m.</w:t>
            </w:r>
          </w:p>
          <w:p w14:paraId="21866D45" w14:textId="59DFB67A" w:rsidR="003673C3" w:rsidRPr="00EC247F" w:rsidRDefault="003673C3" w:rsidP="002D6625">
            <w:pPr>
              <w:rPr>
                <w:lang w:val="lt-LT"/>
              </w:rPr>
            </w:pPr>
            <w:r>
              <w:rPr>
                <w:lang w:val="lt-LT"/>
              </w:rPr>
              <w:t>Dalinai skelbiama (pateikiami absoliutūs sk.)</w:t>
            </w:r>
          </w:p>
        </w:tc>
        <w:tc>
          <w:tcPr>
            <w:tcW w:w="1243" w:type="dxa"/>
            <w:gridSpan w:val="2"/>
          </w:tcPr>
          <w:p w14:paraId="3D1AAEA2" w14:textId="77777777" w:rsidR="00C21ADE" w:rsidRPr="00EC247F" w:rsidRDefault="00D67815" w:rsidP="002D6625">
            <w:pPr>
              <w:rPr>
                <w:lang w:val="lt-LT"/>
              </w:rPr>
            </w:pPr>
            <w:r w:rsidRPr="00EC247F">
              <w:rPr>
                <w:lang w:val="lt-LT"/>
              </w:rPr>
              <w:t>LSD/ SODRA</w:t>
            </w:r>
          </w:p>
        </w:tc>
        <w:tc>
          <w:tcPr>
            <w:tcW w:w="6750" w:type="dxa"/>
          </w:tcPr>
          <w:p w14:paraId="790BD40C" w14:textId="6E3EB3AB" w:rsidR="00A81776" w:rsidRPr="00EC247F" w:rsidRDefault="00796CAC" w:rsidP="00A81776">
            <w:pPr>
              <w:rPr>
                <w:lang w:val="lt-LT"/>
              </w:rPr>
            </w:pPr>
            <w:r w:rsidRPr="00EC247F">
              <w:rPr>
                <w:lang w:val="lt-LT"/>
              </w:rPr>
              <w:t>Netolygus darbo šeimoje pasidalijimas, kuomet moterys atlieka neproporcingai daugiau neapmokamo priežiūros darbo sukuria prielaidas moterų diskriminacijai darbe</w:t>
            </w:r>
            <w:r w:rsidRPr="00EC247F">
              <w:rPr>
                <w:vertAlign w:val="superscript"/>
                <w:lang w:val="lt-LT"/>
              </w:rPr>
              <w:footnoteReference w:id="42"/>
            </w:r>
            <w:r w:rsidRPr="00EC247F">
              <w:rPr>
                <w:lang w:val="lt-LT"/>
              </w:rPr>
              <w:t>. Todėl lyčių požiūriu svarbu turėti informaciją ne tik apie užimtus ir nedirbančius gyventojus savivaldybėse, bet i</w:t>
            </w:r>
            <w:r w:rsidR="00566056">
              <w:rPr>
                <w:lang w:val="lt-LT"/>
              </w:rPr>
              <w:t>r duomenis apie tai, kiek vyrai</w:t>
            </w:r>
            <w:r w:rsidR="006D483C" w:rsidRPr="00EC247F">
              <w:rPr>
                <w:lang w:val="lt-LT"/>
              </w:rPr>
              <w:t xml:space="preserve"> naudojasi galimybe dalyvauti vaikų priežiūroje pirmaisiais jų gyvenimo metais. Teisę gauti vaiko priežiūros išmoką turi vienas iš </w:t>
            </w:r>
            <w:r w:rsidR="00A81776" w:rsidRPr="00EC247F">
              <w:rPr>
                <w:lang w:val="lt-LT"/>
              </w:rPr>
              <w:t xml:space="preserve">dirbančių </w:t>
            </w:r>
            <w:r w:rsidR="006D483C" w:rsidRPr="00EC247F">
              <w:rPr>
                <w:lang w:val="lt-LT"/>
              </w:rPr>
              <w:t>tėvų, įtėvių ar globėjų</w:t>
            </w:r>
            <w:r w:rsidR="00A81776" w:rsidRPr="00EC247F">
              <w:rPr>
                <w:lang w:val="lt-LT"/>
              </w:rPr>
              <w:t>, kuri(s) iki pirmosios vaiko priežiūros ato</w:t>
            </w:r>
            <w:r w:rsidR="00566056">
              <w:rPr>
                <w:lang w:val="lt-LT"/>
              </w:rPr>
              <w:t>stogų dienos turi sukaupusi(</w:t>
            </w:r>
            <w:proofErr w:type="spellStart"/>
            <w:r w:rsidR="00566056">
              <w:rPr>
                <w:lang w:val="lt-LT"/>
              </w:rPr>
              <w:t>ęs</w:t>
            </w:r>
            <w:proofErr w:type="spellEnd"/>
            <w:r w:rsidR="00566056">
              <w:rPr>
                <w:lang w:val="lt-LT"/>
              </w:rPr>
              <w:t xml:space="preserve">) </w:t>
            </w:r>
            <w:r w:rsidR="00A81776" w:rsidRPr="00EC247F">
              <w:rPr>
                <w:lang w:val="lt-LT"/>
              </w:rPr>
              <w:t>ne trumpesnį kaip 12 mėnesių per paskutinius 24</w:t>
            </w:r>
            <w:r w:rsidR="00566056">
              <w:rPr>
                <w:lang w:val="lt-LT"/>
              </w:rPr>
              <w:t xml:space="preserve"> mėnesius motinystės socialinio </w:t>
            </w:r>
            <w:r w:rsidR="00A81776" w:rsidRPr="00EC247F">
              <w:rPr>
                <w:lang w:val="lt-LT"/>
              </w:rPr>
              <w:t>draudimo stažą (su kai kuriomis išimtimis)</w:t>
            </w:r>
            <w:r w:rsidR="00A81776" w:rsidRPr="00EC247F">
              <w:rPr>
                <w:vertAlign w:val="superscript"/>
                <w:lang w:val="lt-LT"/>
              </w:rPr>
              <w:footnoteReference w:id="43"/>
            </w:r>
            <w:r w:rsidR="00A81776" w:rsidRPr="00EC247F">
              <w:rPr>
                <w:lang w:val="lt-LT"/>
              </w:rPr>
              <w:t>.</w:t>
            </w:r>
            <w:r w:rsidR="00566056">
              <w:rPr>
                <w:lang w:val="lt-LT"/>
              </w:rPr>
              <w:t xml:space="preserve"> </w:t>
            </w:r>
          </w:p>
          <w:p w14:paraId="76E6CBD3" w14:textId="77777777" w:rsidR="00B3599F" w:rsidRPr="00EC247F" w:rsidRDefault="00B3599F" w:rsidP="002D6625">
            <w:pPr>
              <w:rPr>
                <w:lang w:val="lt-LT"/>
              </w:rPr>
            </w:pPr>
          </w:p>
          <w:p w14:paraId="0F266354" w14:textId="49B13D68" w:rsidR="00315C3F" w:rsidRPr="00EC247F" w:rsidRDefault="00B3599F" w:rsidP="00E50C2D">
            <w:pPr>
              <w:rPr>
                <w:lang w:val="lt-LT"/>
              </w:rPr>
            </w:pPr>
            <w:r w:rsidRPr="00EC247F">
              <w:rPr>
                <w:lang w:val="lt-LT"/>
              </w:rPr>
              <w:t>Rodiklio išraiška – vidutinio metinio gavėjų skaičiaus pasiskirstymas pagal lytį (procentais).</w:t>
            </w:r>
            <w:r w:rsidR="00315C3F">
              <w:rPr>
                <w:lang w:val="lt-LT"/>
              </w:rPr>
              <w:t xml:space="preserve"> </w:t>
            </w:r>
          </w:p>
        </w:tc>
      </w:tr>
      <w:tr w:rsidR="00C21ADE" w:rsidRPr="00EC247F" w14:paraId="157C6B31" w14:textId="77777777" w:rsidTr="00AD1B26">
        <w:trPr>
          <w:jc w:val="center"/>
        </w:trPr>
        <w:tc>
          <w:tcPr>
            <w:tcW w:w="570" w:type="dxa"/>
          </w:tcPr>
          <w:p w14:paraId="4DB81ED7" w14:textId="0868B1BA" w:rsidR="00C21ADE" w:rsidRPr="00EC247F" w:rsidRDefault="00C21ADE" w:rsidP="00741A16">
            <w:pPr>
              <w:rPr>
                <w:lang w:val="lt-LT"/>
              </w:rPr>
            </w:pPr>
            <w:r w:rsidRPr="00EC247F">
              <w:rPr>
                <w:lang w:val="lt-LT"/>
              </w:rPr>
              <w:t>1</w:t>
            </w:r>
            <w:r w:rsidR="00741A16" w:rsidRPr="00EC247F">
              <w:rPr>
                <w:lang w:val="lt-LT"/>
              </w:rPr>
              <w:t>7</w:t>
            </w:r>
            <w:r w:rsidRPr="00EC247F">
              <w:rPr>
                <w:lang w:val="lt-LT"/>
              </w:rPr>
              <w:t>.</w:t>
            </w:r>
          </w:p>
        </w:tc>
        <w:tc>
          <w:tcPr>
            <w:tcW w:w="3115" w:type="dxa"/>
          </w:tcPr>
          <w:p w14:paraId="2B8407AE" w14:textId="2F81DAFE" w:rsidR="00C21ADE" w:rsidRPr="00EC247F" w:rsidRDefault="00C21ADE" w:rsidP="00531BF6">
            <w:pPr>
              <w:rPr>
                <w:lang w:val="lt-LT"/>
              </w:rPr>
            </w:pPr>
            <w:r w:rsidRPr="00EC247F">
              <w:rPr>
                <w:lang w:val="lt-LT"/>
              </w:rPr>
              <w:t>Valstybinio socialinio draudimo vaiko priežiūros išmoka nuo 1 vaiko metų iki vaikui sukaks 2 metai</w:t>
            </w:r>
            <w:r w:rsidR="00BA575E" w:rsidRPr="00EC247F">
              <w:rPr>
                <w:lang w:val="lt-LT"/>
              </w:rPr>
              <w:t xml:space="preserve"> (iki 20</w:t>
            </w:r>
            <w:r w:rsidR="00745C2D">
              <w:rPr>
                <w:lang w:val="lt-LT"/>
              </w:rPr>
              <w:t>17 m. buvo vadinama motinystės/</w:t>
            </w:r>
            <w:r w:rsidR="00BA575E" w:rsidRPr="00EC247F">
              <w:rPr>
                <w:lang w:val="lt-LT"/>
              </w:rPr>
              <w:t>tėvystės pašalpa)</w:t>
            </w:r>
          </w:p>
        </w:tc>
        <w:tc>
          <w:tcPr>
            <w:tcW w:w="2340" w:type="dxa"/>
          </w:tcPr>
          <w:p w14:paraId="0327756E" w14:textId="77777777" w:rsidR="008403D3" w:rsidRPr="00EC247F" w:rsidRDefault="008403D3" w:rsidP="008403D3">
            <w:pPr>
              <w:rPr>
                <w:lang w:val="lt-LT"/>
              </w:rPr>
            </w:pPr>
            <w:r w:rsidRPr="00EC247F">
              <w:rPr>
                <w:lang w:val="lt-LT"/>
              </w:rPr>
              <w:t>Lytis</w:t>
            </w:r>
          </w:p>
          <w:p w14:paraId="1BD0C0EC" w14:textId="77777777" w:rsidR="00C21ADE" w:rsidRPr="00EC247F" w:rsidRDefault="00C21ADE">
            <w:pPr>
              <w:rPr>
                <w:lang w:val="lt-LT"/>
              </w:rPr>
            </w:pPr>
            <w:r w:rsidRPr="00EC247F">
              <w:rPr>
                <w:lang w:val="lt-LT"/>
              </w:rPr>
              <w:t xml:space="preserve">Savivaldybės </w:t>
            </w:r>
          </w:p>
        </w:tc>
        <w:tc>
          <w:tcPr>
            <w:tcW w:w="1727" w:type="dxa"/>
          </w:tcPr>
          <w:p w14:paraId="68AB4A90" w14:textId="77777777" w:rsidR="00C21ADE" w:rsidRDefault="00C21ADE">
            <w:pPr>
              <w:rPr>
                <w:lang w:val="lt-LT"/>
              </w:rPr>
            </w:pPr>
            <w:r w:rsidRPr="00EC247F">
              <w:rPr>
                <w:lang w:val="lt-LT"/>
              </w:rPr>
              <w:t>Nuo 2011 m.</w:t>
            </w:r>
          </w:p>
          <w:p w14:paraId="3285EDE9" w14:textId="0E585E9E" w:rsidR="003673C3" w:rsidRPr="00EC247F" w:rsidRDefault="003673C3">
            <w:pPr>
              <w:rPr>
                <w:lang w:val="lt-LT"/>
              </w:rPr>
            </w:pPr>
            <w:r>
              <w:rPr>
                <w:lang w:val="lt-LT"/>
              </w:rPr>
              <w:t>Dalinai skelbiama (pateikiami absoliutūs sk.)</w:t>
            </w:r>
          </w:p>
        </w:tc>
        <w:tc>
          <w:tcPr>
            <w:tcW w:w="1243" w:type="dxa"/>
            <w:gridSpan w:val="2"/>
          </w:tcPr>
          <w:p w14:paraId="5704DBC2" w14:textId="77777777" w:rsidR="00C21ADE" w:rsidRPr="00EC247F" w:rsidRDefault="00D67815" w:rsidP="00695B8A">
            <w:pPr>
              <w:rPr>
                <w:lang w:val="lt-LT"/>
              </w:rPr>
            </w:pPr>
            <w:r w:rsidRPr="00EC247F">
              <w:rPr>
                <w:lang w:val="lt-LT"/>
              </w:rPr>
              <w:t>LSD/ SODRA</w:t>
            </w:r>
          </w:p>
        </w:tc>
        <w:tc>
          <w:tcPr>
            <w:tcW w:w="6750" w:type="dxa"/>
          </w:tcPr>
          <w:p w14:paraId="035B7BC1" w14:textId="7D0B5285" w:rsidR="00B3599F" w:rsidRPr="00EC247F" w:rsidRDefault="00796CAC" w:rsidP="00796CAC">
            <w:pPr>
              <w:rPr>
                <w:lang w:val="lt-LT"/>
              </w:rPr>
            </w:pPr>
            <w:r w:rsidRPr="00EC247F">
              <w:rPr>
                <w:lang w:val="lt-LT"/>
              </w:rPr>
              <w:t>Netolygus darbo šeimoje pasidalijimas, kuomet moterys atlieka neproporcingai daugiau neapmokamo priežiūros darbo sukuria prielaidas moterų diskriminacijai darbe</w:t>
            </w:r>
            <w:r w:rsidRPr="00EC247F">
              <w:rPr>
                <w:rStyle w:val="FootnoteReference"/>
                <w:lang w:val="lt-LT"/>
              </w:rPr>
              <w:footnoteReference w:id="44"/>
            </w:r>
            <w:r w:rsidRPr="00EC247F">
              <w:rPr>
                <w:lang w:val="lt-LT"/>
              </w:rPr>
              <w:t xml:space="preserve">. Todėl lyčių požiūriu svarbu turėti informaciją ne tik apie užimtus ir nedirbančius gyventojus savivaldybėse, bet ir duomenis apie tai, </w:t>
            </w:r>
            <w:r w:rsidR="00745C2D">
              <w:rPr>
                <w:lang w:val="lt-LT"/>
              </w:rPr>
              <w:t xml:space="preserve">kiek vyrai </w:t>
            </w:r>
            <w:r w:rsidR="004C2B03" w:rsidRPr="00EC247F">
              <w:rPr>
                <w:lang w:val="lt-LT"/>
              </w:rPr>
              <w:t>naudojasi galimybe dalyvauti vaikų priežiūroje pirmaisiais jų gyvenimo metais. Teisę gauti vaiko priežiūros išmoką turi vienas iš dirbančių tėvų, įtėvių ar globėjų, kuri(s) iki pirmosios vaiko priežiūros ato</w:t>
            </w:r>
            <w:r w:rsidR="00745C2D">
              <w:rPr>
                <w:lang w:val="lt-LT"/>
              </w:rPr>
              <w:t>stogų dienos turi sukaupusi(</w:t>
            </w:r>
            <w:proofErr w:type="spellStart"/>
            <w:r w:rsidR="00745C2D">
              <w:rPr>
                <w:lang w:val="lt-LT"/>
              </w:rPr>
              <w:t>ęs</w:t>
            </w:r>
            <w:proofErr w:type="spellEnd"/>
            <w:r w:rsidR="00745C2D">
              <w:rPr>
                <w:lang w:val="lt-LT"/>
              </w:rPr>
              <w:t xml:space="preserve">) </w:t>
            </w:r>
            <w:r w:rsidR="004C2B03" w:rsidRPr="00EC247F">
              <w:rPr>
                <w:lang w:val="lt-LT"/>
              </w:rPr>
              <w:t xml:space="preserve">ne trumpesnį kaip 12 </w:t>
            </w:r>
            <w:r w:rsidR="004C2B03" w:rsidRPr="00EC247F">
              <w:rPr>
                <w:lang w:val="lt-LT"/>
              </w:rPr>
              <w:lastRenderedPageBreak/>
              <w:t>mėnesių per paskutinius 24</w:t>
            </w:r>
            <w:r w:rsidR="00745C2D">
              <w:rPr>
                <w:lang w:val="lt-LT"/>
              </w:rPr>
              <w:t xml:space="preserve"> mėnesius motinystės socialinio </w:t>
            </w:r>
            <w:r w:rsidR="004C2B03" w:rsidRPr="00EC247F">
              <w:rPr>
                <w:lang w:val="lt-LT"/>
              </w:rPr>
              <w:t>draudimo stažą (su kai kuriomis išimtimis)</w:t>
            </w:r>
            <w:r w:rsidR="004C2B03" w:rsidRPr="00EC247F">
              <w:rPr>
                <w:vertAlign w:val="superscript"/>
                <w:lang w:val="lt-LT"/>
              </w:rPr>
              <w:footnoteReference w:id="45"/>
            </w:r>
            <w:r w:rsidR="004C2B03" w:rsidRPr="00EC247F">
              <w:rPr>
                <w:lang w:val="lt-LT"/>
              </w:rPr>
              <w:t>.</w:t>
            </w:r>
          </w:p>
          <w:p w14:paraId="1F983A9C" w14:textId="77777777" w:rsidR="00640DF8" w:rsidRPr="00EC247F" w:rsidRDefault="00640DF8" w:rsidP="00796CAC">
            <w:pPr>
              <w:rPr>
                <w:lang w:val="lt-LT"/>
              </w:rPr>
            </w:pPr>
          </w:p>
          <w:p w14:paraId="67A73A82" w14:textId="77777777" w:rsidR="00B3599F" w:rsidRPr="00EC247F" w:rsidRDefault="00B3599F" w:rsidP="00B3599F">
            <w:pPr>
              <w:rPr>
                <w:lang w:val="lt-LT"/>
              </w:rPr>
            </w:pPr>
            <w:r w:rsidRPr="00EC247F">
              <w:rPr>
                <w:lang w:val="lt-LT"/>
              </w:rPr>
              <w:t>Rodiklio išraiška – vidutinio metinio gavėjų skaičiaus pasiskirstymas pagal lytį (procentais).</w:t>
            </w:r>
          </w:p>
        </w:tc>
      </w:tr>
      <w:tr w:rsidR="00C21ADE" w:rsidRPr="00EC247F" w14:paraId="3E26D12E" w14:textId="77777777" w:rsidTr="00AD1B26">
        <w:trPr>
          <w:jc w:val="center"/>
        </w:trPr>
        <w:tc>
          <w:tcPr>
            <w:tcW w:w="570" w:type="dxa"/>
          </w:tcPr>
          <w:p w14:paraId="6128E1BC" w14:textId="77777777" w:rsidR="00C21ADE" w:rsidRPr="00EC247F" w:rsidRDefault="00C21ADE" w:rsidP="00741A16">
            <w:pPr>
              <w:rPr>
                <w:lang w:val="lt-LT"/>
              </w:rPr>
            </w:pPr>
            <w:r w:rsidRPr="00EC247F">
              <w:rPr>
                <w:lang w:val="lt-LT"/>
              </w:rPr>
              <w:lastRenderedPageBreak/>
              <w:t>1</w:t>
            </w:r>
            <w:r w:rsidR="00741A16" w:rsidRPr="00EC247F">
              <w:rPr>
                <w:lang w:val="lt-LT"/>
              </w:rPr>
              <w:t>8</w:t>
            </w:r>
            <w:r w:rsidRPr="00EC247F">
              <w:rPr>
                <w:lang w:val="lt-LT"/>
              </w:rPr>
              <w:t>.</w:t>
            </w:r>
          </w:p>
        </w:tc>
        <w:tc>
          <w:tcPr>
            <w:tcW w:w="3115" w:type="dxa"/>
          </w:tcPr>
          <w:p w14:paraId="7868C634" w14:textId="7540A3A2" w:rsidR="00C21ADE" w:rsidRPr="00EC247F" w:rsidRDefault="00C21ADE" w:rsidP="00547F6A">
            <w:pPr>
              <w:rPr>
                <w:lang w:val="lt-LT"/>
              </w:rPr>
            </w:pPr>
            <w:r w:rsidRPr="00EC247F">
              <w:rPr>
                <w:lang w:val="lt-LT"/>
              </w:rPr>
              <w:t xml:space="preserve">Vietų skaičius, tenkantis 100 vaikų, lankančių ikimokyklinio ugdymo įstaigas  </w:t>
            </w:r>
          </w:p>
        </w:tc>
        <w:tc>
          <w:tcPr>
            <w:tcW w:w="2340" w:type="dxa"/>
          </w:tcPr>
          <w:p w14:paraId="6688C215" w14:textId="77777777" w:rsidR="00C21ADE" w:rsidRPr="00723E5D" w:rsidRDefault="00C21ADE" w:rsidP="004C78DD">
            <w:pPr>
              <w:rPr>
                <w:lang w:val="lt-LT"/>
              </w:rPr>
            </w:pPr>
            <w:r w:rsidRPr="00723E5D">
              <w:rPr>
                <w:lang w:val="lt-LT"/>
              </w:rPr>
              <w:t xml:space="preserve">Savivaldybės </w:t>
            </w:r>
          </w:p>
          <w:p w14:paraId="278A8FF3" w14:textId="5DA36680" w:rsidR="00C21ADE" w:rsidRPr="00723E5D" w:rsidRDefault="00C21ADE" w:rsidP="004C78DD">
            <w:pPr>
              <w:rPr>
                <w:lang w:val="lt-LT"/>
              </w:rPr>
            </w:pPr>
            <w:r w:rsidRPr="00723E5D">
              <w:rPr>
                <w:lang w:val="lt-LT"/>
              </w:rPr>
              <w:t>Amžius</w:t>
            </w:r>
            <w:r w:rsidR="006E5216">
              <w:rPr>
                <w:lang w:val="lt-LT"/>
              </w:rPr>
              <w:t xml:space="preserve">: </w:t>
            </w:r>
          </w:p>
          <w:p w14:paraId="09C11B79" w14:textId="77777777" w:rsidR="00201B40" w:rsidRPr="00723E5D" w:rsidRDefault="00201B40" w:rsidP="00201B40">
            <w:pPr>
              <w:rPr>
                <w:lang w:val="lt-LT"/>
              </w:rPr>
            </w:pPr>
            <w:r w:rsidRPr="00723E5D">
              <w:rPr>
                <w:lang w:val="lt-LT"/>
              </w:rPr>
              <w:t xml:space="preserve">(a) vaikų iki 1 metų amžiaus </w:t>
            </w:r>
          </w:p>
          <w:p w14:paraId="50479B4A" w14:textId="77777777" w:rsidR="00201B40" w:rsidRPr="00723E5D" w:rsidRDefault="00201B40" w:rsidP="00201B40">
            <w:pPr>
              <w:rPr>
                <w:lang w:val="lt-LT"/>
              </w:rPr>
            </w:pPr>
            <w:r w:rsidRPr="00723E5D">
              <w:rPr>
                <w:lang w:val="lt-LT"/>
              </w:rPr>
              <w:t xml:space="preserve">(b) vaikų 1–3 metų amžiaus </w:t>
            </w:r>
          </w:p>
          <w:p w14:paraId="661D57C6" w14:textId="77777777" w:rsidR="00201B40" w:rsidRPr="00723E5D" w:rsidRDefault="00201B40" w:rsidP="00201B40">
            <w:pPr>
              <w:rPr>
                <w:lang w:val="lt-LT"/>
              </w:rPr>
            </w:pPr>
            <w:r w:rsidRPr="00723E5D">
              <w:rPr>
                <w:lang w:val="lt-LT"/>
              </w:rPr>
              <w:t>(c) vaikų virš 3 metų iki mokyklinio amžiaus</w:t>
            </w:r>
          </w:p>
        </w:tc>
        <w:tc>
          <w:tcPr>
            <w:tcW w:w="1727" w:type="dxa"/>
          </w:tcPr>
          <w:p w14:paraId="0EBD245E" w14:textId="75603EAA" w:rsidR="00C21ADE" w:rsidRPr="00EC247F" w:rsidRDefault="003673C3" w:rsidP="00695B8A">
            <w:pPr>
              <w:rPr>
                <w:lang w:val="lt-LT"/>
              </w:rPr>
            </w:pPr>
            <w:r w:rsidRPr="003673C3">
              <w:rPr>
                <w:lang w:val="lt-LT"/>
              </w:rPr>
              <w:t>Dalinai skelbiama</w:t>
            </w:r>
            <w:r>
              <w:rPr>
                <w:lang w:val="lt-LT"/>
              </w:rPr>
              <w:t xml:space="preserve"> (nėra vaikų amžiaus grupių dimensijos) </w:t>
            </w:r>
          </w:p>
        </w:tc>
        <w:tc>
          <w:tcPr>
            <w:tcW w:w="1243" w:type="dxa"/>
            <w:gridSpan w:val="2"/>
          </w:tcPr>
          <w:p w14:paraId="0928F109" w14:textId="77777777" w:rsidR="00C21ADE" w:rsidRPr="00EC247F" w:rsidRDefault="00C21ADE" w:rsidP="00695B8A">
            <w:pPr>
              <w:rPr>
                <w:lang w:val="lt-LT"/>
              </w:rPr>
            </w:pPr>
            <w:r w:rsidRPr="00EC247F">
              <w:rPr>
                <w:lang w:val="lt-LT"/>
              </w:rPr>
              <w:t>ŠITC</w:t>
            </w:r>
          </w:p>
        </w:tc>
        <w:tc>
          <w:tcPr>
            <w:tcW w:w="6750" w:type="dxa"/>
          </w:tcPr>
          <w:p w14:paraId="48FBA92D" w14:textId="3B40603E" w:rsidR="00C21ADE" w:rsidRPr="00EC247F" w:rsidRDefault="00B24F58" w:rsidP="009A1848">
            <w:pPr>
              <w:rPr>
                <w:lang w:val="lt-LT"/>
              </w:rPr>
            </w:pPr>
            <w:r w:rsidRPr="00EC247F">
              <w:rPr>
                <w:lang w:val="lt-LT"/>
              </w:rPr>
              <w:t>ES lygiu atlikta analizė parodė, kad vaikų priežiūros paslaugų prieinamumas stipriai veikia moterų dalyvavimą darbo rinkoje</w:t>
            </w:r>
            <w:r w:rsidRPr="00EC247F">
              <w:rPr>
                <w:rStyle w:val="FootnoteReference"/>
                <w:lang w:val="lt-LT"/>
              </w:rPr>
              <w:footnoteReference w:id="46"/>
            </w:r>
            <w:r w:rsidRPr="00EC247F">
              <w:rPr>
                <w:lang w:val="lt-LT"/>
              </w:rPr>
              <w:t xml:space="preserve">. </w:t>
            </w:r>
            <w:r w:rsidR="004F093C" w:rsidRPr="00EC247F">
              <w:rPr>
                <w:lang w:val="lt-LT"/>
              </w:rPr>
              <w:t>Šis rodiklis padeda įvertinti,</w:t>
            </w:r>
            <w:r w:rsidRPr="00EC247F">
              <w:rPr>
                <w:lang w:val="lt-LT"/>
              </w:rPr>
              <w:t xml:space="preserve"> ar</w:t>
            </w:r>
            <w:r w:rsidR="008C4D45" w:rsidRPr="00EC247F">
              <w:rPr>
                <w:lang w:val="lt-LT"/>
              </w:rPr>
              <w:t xml:space="preserve"> formalios</w:t>
            </w:r>
            <w:r w:rsidRPr="00EC247F">
              <w:rPr>
                <w:lang w:val="lt-LT"/>
              </w:rPr>
              <w:t xml:space="preserve"> vaiko priežiūros paslaugų prieinamumo poreikis yra patenkinamas</w:t>
            </w:r>
            <w:r w:rsidR="004F093C" w:rsidRPr="00EC247F">
              <w:rPr>
                <w:lang w:val="lt-LT"/>
              </w:rPr>
              <w:t xml:space="preserve"> atskirose Lietuvos savivaldybėse</w:t>
            </w:r>
            <w:r w:rsidRPr="00EC247F">
              <w:rPr>
                <w:lang w:val="lt-LT"/>
              </w:rPr>
              <w:t xml:space="preserve">. </w:t>
            </w:r>
            <w:r w:rsidR="004F093C" w:rsidRPr="00EC247F">
              <w:rPr>
                <w:lang w:val="lt-LT"/>
              </w:rPr>
              <w:t xml:space="preserve">Jis parodo, kiek </w:t>
            </w:r>
            <w:r w:rsidR="004F093C" w:rsidRPr="001E2E6B">
              <w:rPr>
                <w:lang w:val="lt-LT"/>
              </w:rPr>
              <w:t>vietų</w:t>
            </w:r>
            <w:r w:rsidR="001E2E6B">
              <w:rPr>
                <w:lang w:val="lt-LT"/>
              </w:rPr>
              <w:t xml:space="preserve"> </w:t>
            </w:r>
            <w:r w:rsidR="004F093C" w:rsidRPr="001E2E6B">
              <w:rPr>
                <w:lang w:val="lt-LT"/>
              </w:rPr>
              <w:t>ikimokyklinio</w:t>
            </w:r>
            <w:r w:rsidR="004F093C" w:rsidRPr="00EC247F">
              <w:rPr>
                <w:lang w:val="lt-LT"/>
              </w:rPr>
              <w:t xml:space="preserve"> ugdymo įstaigose tenka 100 jas lankančių vaikų.</w:t>
            </w:r>
            <w:r w:rsidR="00B52918" w:rsidRPr="00EC247F">
              <w:rPr>
                <w:lang w:val="lt-LT"/>
              </w:rPr>
              <w:t xml:space="preserve"> </w:t>
            </w:r>
          </w:p>
          <w:p w14:paraId="799601AE" w14:textId="77777777" w:rsidR="001A53A2" w:rsidRPr="00EC247F" w:rsidRDefault="001A53A2" w:rsidP="009A1848">
            <w:pPr>
              <w:rPr>
                <w:lang w:val="lt-LT"/>
              </w:rPr>
            </w:pPr>
          </w:p>
          <w:p w14:paraId="02B3934E" w14:textId="566C1694" w:rsidR="001A53A2" w:rsidRPr="00EC247F" w:rsidRDefault="005E48CF" w:rsidP="00593578">
            <w:pPr>
              <w:rPr>
                <w:lang w:val="lt-LT"/>
              </w:rPr>
            </w:pPr>
            <w:r w:rsidRPr="005E48CF">
              <w:rPr>
                <w:u w:val="single"/>
                <w:lang w:val="lt-LT"/>
              </w:rPr>
              <w:t>PASIŪLYMAS:</w:t>
            </w:r>
            <w:r w:rsidR="00593578">
              <w:rPr>
                <w:lang w:val="lt-LT"/>
              </w:rPr>
              <w:t xml:space="preserve"> </w:t>
            </w:r>
            <w:r w:rsidR="001A53A2" w:rsidRPr="00EC247F">
              <w:rPr>
                <w:lang w:val="lt-LT"/>
              </w:rPr>
              <w:t xml:space="preserve">Esant galimybei skirti valstybinį ir privatų </w:t>
            </w:r>
            <w:r w:rsidR="00E9715E">
              <w:rPr>
                <w:lang w:val="lt-LT"/>
              </w:rPr>
              <w:t>sektorius</w:t>
            </w:r>
            <w:r w:rsidR="001A53A2" w:rsidRPr="00EC247F">
              <w:rPr>
                <w:lang w:val="lt-LT"/>
              </w:rPr>
              <w:t>.</w:t>
            </w:r>
            <w:r>
              <w:rPr>
                <w:lang w:val="lt-LT"/>
              </w:rPr>
              <w:t xml:space="preserve"> </w:t>
            </w:r>
          </w:p>
        </w:tc>
      </w:tr>
      <w:tr w:rsidR="00C21ADE" w:rsidRPr="00485D1C" w14:paraId="4FDF7DD0" w14:textId="77777777" w:rsidTr="00AD1B26">
        <w:trPr>
          <w:jc w:val="center"/>
        </w:trPr>
        <w:tc>
          <w:tcPr>
            <w:tcW w:w="570" w:type="dxa"/>
          </w:tcPr>
          <w:p w14:paraId="7233B43E" w14:textId="77777777" w:rsidR="00C21ADE" w:rsidRPr="00EC247F" w:rsidRDefault="00C21ADE" w:rsidP="00695B8A">
            <w:pPr>
              <w:rPr>
                <w:lang w:val="lt-LT"/>
              </w:rPr>
            </w:pPr>
            <w:r w:rsidRPr="00EC247F">
              <w:rPr>
                <w:lang w:val="lt-LT"/>
              </w:rPr>
              <w:t>1</w:t>
            </w:r>
            <w:r w:rsidR="00741A16" w:rsidRPr="00EC247F">
              <w:rPr>
                <w:lang w:val="lt-LT"/>
              </w:rPr>
              <w:t>9</w:t>
            </w:r>
            <w:r w:rsidRPr="00EC247F">
              <w:rPr>
                <w:lang w:val="lt-LT"/>
              </w:rPr>
              <w:t>.</w:t>
            </w:r>
          </w:p>
        </w:tc>
        <w:tc>
          <w:tcPr>
            <w:tcW w:w="3115" w:type="dxa"/>
          </w:tcPr>
          <w:p w14:paraId="449699E5" w14:textId="77777777" w:rsidR="00C21ADE" w:rsidRPr="00EC247F" w:rsidRDefault="00C21ADE" w:rsidP="00695B8A">
            <w:pPr>
              <w:rPr>
                <w:lang w:val="lt-LT"/>
              </w:rPr>
            </w:pPr>
            <w:r w:rsidRPr="00EC247F">
              <w:rPr>
                <w:lang w:val="lt-LT"/>
              </w:rPr>
              <w:t>Vaikų ikimokykliniame ugdyme dalis, palyginti su atitinkamo amžiaus vaikais (proc.)</w:t>
            </w:r>
          </w:p>
        </w:tc>
        <w:tc>
          <w:tcPr>
            <w:tcW w:w="2340" w:type="dxa"/>
          </w:tcPr>
          <w:p w14:paraId="609ACB45" w14:textId="77777777" w:rsidR="00C21ADE" w:rsidRPr="00723E5D" w:rsidRDefault="00C21ADE" w:rsidP="0033625A">
            <w:pPr>
              <w:rPr>
                <w:lang w:val="lt-LT"/>
              </w:rPr>
            </w:pPr>
            <w:r w:rsidRPr="00723E5D">
              <w:rPr>
                <w:lang w:val="lt-LT"/>
              </w:rPr>
              <w:t xml:space="preserve">Savivaldybės </w:t>
            </w:r>
          </w:p>
          <w:p w14:paraId="2D74F12E" w14:textId="362C541B" w:rsidR="00C21ADE" w:rsidRPr="00723E5D" w:rsidRDefault="00C21ADE" w:rsidP="0033625A">
            <w:pPr>
              <w:rPr>
                <w:lang w:val="lt-LT"/>
              </w:rPr>
            </w:pPr>
            <w:r w:rsidRPr="00723E5D">
              <w:rPr>
                <w:lang w:val="lt-LT"/>
              </w:rPr>
              <w:t>Amžius</w:t>
            </w:r>
            <w:r w:rsidR="006E5216">
              <w:rPr>
                <w:lang w:val="lt-LT"/>
              </w:rPr>
              <w:t xml:space="preserve">: </w:t>
            </w:r>
          </w:p>
          <w:p w14:paraId="7A5546C0" w14:textId="77777777" w:rsidR="00201B40" w:rsidRPr="00723E5D" w:rsidRDefault="00201B40" w:rsidP="00201B40">
            <w:pPr>
              <w:rPr>
                <w:lang w:val="lt-LT"/>
              </w:rPr>
            </w:pPr>
            <w:r w:rsidRPr="00723E5D">
              <w:rPr>
                <w:lang w:val="lt-LT"/>
              </w:rPr>
              <w:t xml:space="preserve">(a) vaikų iki 1 metų amžiaus </w:t>
            </w:r>
          </w:p>
          <w:p w14:paraId="34883A2C" w14:textId="77777777" w:rsidR="00201B40" w:rsidRPr="00723E5D" w:rsidRDefault="00201B40" w:rsidP="00201B40">
            <w:pPr>
              <w:rPr>
                <w:lang w:val="lt-LT"/>
              </w:rPr>
            </w:pPr>
            <w:r w:rsidRPr="00723E5D">
              <w:rPr>
                <w:lang w:val="lt-LT"/>
              </w:rPr>
              <w:t xml:space="preserve">(b) vaikų 1–3 metų amžiaus </w:t>
            </w:r>
          </w:p>
          <w:p w14:paraId="692C7EBA" w14:textId="77777777" w:rsidR="00201B40" w:rsidRPr="00723E5D" w:rsidRDefault="00201B40" w:rsidP="00201B40">
            <w:pPr>
              <w:rPr>
                <w:lang w:val="lt-LT"/>
              </w:rPr>
            </w:pPr>
            <w:r w:rsidRPr="00723E5D">
              <w:rPr>
                <w:lang w:val="lt-LT"/>
              </w:rPr>
              <w:t>(c) vaikų virš 3 metų iki mokyklinio amžiaus</w:t>
            </w:r>
          </w:p>
        </w:tc>
        <w:tc>
          <w:tcPr>
            <w:tcW w:w="1727" w:type="dxa"/>
          </w:tcPr>
          <w:p w14:paraId="6B06901E" w14:textId="238ADF38" w:rsidR="00C21ADE" w:rsidRPr="00EC247F" w:rsidRDefault="003673C3" w:rsidP="00695B8A">
            <w:pPr>
              <w:rPr>
                <w:lang w:val="lt-LT"/>
              </w:rPr>
            </w:pPr>
            <w:r w:rsidRPr="003673C3">
              <w:rPr>
                <w:lang w:val="lt-LT"/>
              </w:rPr>
              <w:t>Dalinai skelbiama (nėra vaikų amžiaus grupių dimensijos)</w:t>
            </w:r>
          </w:p>
        </w:tc>
        <w:tc>
          <w:tcPr>
            <w:tcW w:w="1243" w:type="dxa"/>
            <w:gridSpan w:val="2"/>
          </w:tcPr>
          <w:p w14:paraId="75D3B3F9" w14:textId="77777777" w:rsidR="00C21ADE" w:rsidRPr="00EC247F" w:rsidRDefault="00C21ADE" w:rsidP="00695B8A">
            <w:pPr>
              <w:rPr>
                <w:lang w:val="lt-LT"/>
              </w:rPr>
            </w:pPr>
            <w:r w:rsidRPr="00EC247F">
              <w:rPr>
                <w:lang w:val="lt-LT"/>
              </w:rPr>
              <w:t>ŠITC</w:t>
            </w:r>
          </w:p>
        </w:tc>
        <w:tc>
          <w:tcPr>
            <w:tcW w:w="6750" w:type="dxa"/>
          </w:tcPr>
          <w:p w14:paraId="55AC5902" w14:textId="600BAF86" w:rsidR="00C21ADE" w:rsidRPr="00EC247F" w:rsidRDefault="004F093C" w:rsidP="009C230E">
            <w:pPr>
              <w:rPr>
                <w:lang w:val="lt-LT"/>
              </w:rPr>
            </w:pPr>
            <w:r w:rsidRPr="00EC247F">
              <w:rPr>
                <w:lang w:val="lt-LT"/>
              </w:rPr>
              <w:t xml:space="preserve">ES lygiu atlikta analizė parodė, kad </w:t>
            </w:r>
            <w:r w:rsidR="0003742F" w:rsidRPr="00EC247F">
              <w:rPr>
                <w:lang w:val="lt-LT"/>
              </w:rPr>
              <w:t xml:space="preserve">formalios </w:t>
            </w:r>
            <w:r w:rsidRPr="00EC247F">
              <w:rPr>
                <w:lang w:val="lt-LT"/>
              </w:rPr>
              <w:t>vaik</w:t>
            </w:r>
            <w:r w:rsidR="0003742F" w:rsidRPr="00EC247F">
              <w:rPr>
                <w:lang w:val="lt-LT"/>
              </w:rPr>
              <w:t>o</w:t>
            </w:r>
            <w:r w:rsidRPr="00EC247F">
              <w:rPr>
                <w:lang w:val="lt-LT"/>
              </w:rPr>
              <w:t xml:space="preserve"> priežiūros paslaugų prieinamumas stipriai veikia moterų dalyvavimą darbo rinkoje</w:t>
            </w:r>
            <w:r w:rsidRPr="00EC247F">
              <w:rPr>
                <w:vertAlign w:val="superscript"/>
                <w:lang w:val="lt-LT"/>
              </w:rPr>
              <w:footnoteReference w:id="47"/>
            </w:r>
            <w:r w:rsidRPr="00EC247F">
              <w:rPr>
                <w:lang w:val="lt-LT"/>
              </w:rPr>
              <w:t xml:space="preserve">. Šis rodiklis padeda įvertinti </w:t>
            </w:r>
            <w:r w:rsidR="0003742F" w:rsidRPr="00EC247F">
              <w:rPr>
                <w:lang w:val="lt-LT"/>
              </w:rPr>
              <w:t xml:space="preserve">formalios </w:t>
            </w:r>
            <w:r w:rsidRPr="00EC247F">
              <w:rPr>
                <w:lang w:val="lt-LT"/>
              </w:rPr>
              <w:t xml:space="preserve">vaiko priežiūros paslaugų </w:t>
            </w:r>
            <w:r w:rsidR="0003742F" w:rsidRPr="00EC247F">
              <w:rPr>
                <w:lang w:val="lt-LT"/>
              </w:rPr>
              <w:t>aprėptį</w:t>
            </w:r>
            <w:r w:rsidRPr="00EC247F">
              <w:rPr>
                <w:lang w:val="lt-LT"/>
              </w:rPr>
              <w:t xml:space="preserve">. Jis parodo, </w:t>
            </w:r>
            <w:r w:rsidR="00002199" w:rsidRPr="00EC247F">
              <w:rPr>
                <w:lang w:val="lt-LT"/>
              </w:rPr>
              <w:t>kokia dalis atitinkamo amžiaus vaikų</w:t>
            </w:r>
            <w:r w:rsidRPr="00EC247F">
              <w:rPr>
                <w:lang w:val="lt-LT"/>
              </w:rPr>
              <w:t xml:space="preserve"> </w:t>
            </w:r>
            <w:r w:rsidR="00002199" w:rsidRPr="00EC247F">
              <w:rPr>
                <w:lang w:val="lt-LT"/>
              </w:rPr>
              <w:t xml:space="preserve">lanko </w:t>
            </w:r>
            <w:r w:rsidRPr="00EC247F">
              <w:rPr>
                <w:lang w:val="lt-LT"/>
              </w:rPr>
              <w:t>ikimokyklin</w:t>
            </w:r>
            <w:r w:rsidR="00002199" w:rsidRPr="00EC247F">
              <w:rPr>
                <w:lang w:val="lt-LT"/>
              </w:rPr>
              <w:t>es</w:t>
            </w:r>
            <w:r w:rsidRPr="00EC247F">
              <w:rPr>
                <w:lang w:val="lt-LT"/>
              </w:rPr>
              <w:t xml:space="preserve"> ugdymo įstaig</w:t>
            </w:r>
            <w:r w:rsidR="00002199" w:rsidRPr="00EC247F">
              <w:rPr>
                <w:lang w:val="lt-LT"/>
              </w:rPr>
              <w:t xml:space="preserve">as. </w:t>
            </w:r>
            <w:r w:rsidR="00141165" w:rsidRPr="00EC247F">
              <w:rPr>
                <w:lang w:val="lt-LT"/>
              </w:rPr>
              <w:t xml:space="preserve">Europos Komisijos 2004 m. suformuluotuose Barselonos tiksluose </w:t>
            </w:r>
            <w:r w:rsidR="00582146" w:rsidRPr="00EC247F">
              <w:rPr>
                <w:lang w:val="lt-LT"/>
              </w:rPr>
              <w:t>numat</w:t>
            </w:r>
            <w:r w:rsidR="00141165" w:rsidRPr="00EC247F">
              <w:rPr>
                <w:lang w:val="lt-LT"/>
              </w:rPr>
              <w:t xml:space="preserve">yta siekti, kad iki 2010 m. ES valstybėse narėse formaliajame ikimokykliniame ugdyme dalyvautų </w:t>
            </w:r>
            <w:r w:rsidR="00582146" w:rsidRPr="00EC247F">
              <w:rPr>
                <w:lang w:val="lt-LT"/>
              </w:rPr>
              <w:t xml:space="preserve">33 proc. </w:t>
            </w:r>
            <w:r w:rsidR="00141165" w:rsidRPr="00EC247F">
              <w:rPr>
                <w:lang w:val="lt-LT"/>
              </w:rPr>
              <w:t xml:space="preserve">jaunesnių nei 3 metai ir </w:t>
            </w:r>
            <w:r w:rsidR="00582146" w:rsidRPr="00EC247F">
              <w:rPr>
                <w:lang w:val="lt-LT"/>
              </w:rPr>
              <w:t xml:space="preserve">90 proc. </w:t>
            </w:r>
            <w:r w:rsidR="00141165" w:rsidRPr="00EC247F">
              <w:rPr>
                <w:lang w:val="lt-LT"/>
              </w:rPr>
              <w:t>vyresnių 3 metų vaikų</w:t>
            </w:r>
            <w:r w:rsidR="009A1848" w:rsidRPr="00EC247F">
              <w:rPr>
                <w:rStyle w:val="FootnoteReference"/>
                <w:lang w:val="lt-LT"/>
              </w:rPr>
              <w:footnoteReference w:id="48"/>
            </w:r>
            <w:r w:rsidR="009A1848" w:rsidRPr="00EC247F">
              <w:rPr>
                <w:lang w:val="lt-LT"/>
              </w:rPr>
              <w:t>.</w:t>
            </w:r>
            <w:r w:rsidR="00141165" w:rsidRPr="00EC247F">
              <w:rPr>
                <w:lang w:val="lt-LT"/>
              </w:rPr>
              <w:t xml:space="preserve"> </w:t>
            </w:r>
            <w:r w:rsidR="009A1848" w:rsidRPr="00EC247F">
              <w:rPr>
                <w:lang w:val="lt-LT"/>
              </w:rPr>
              <w:t xml:space="preserve">Vis dėlto, iki šiol </w:t>
            </w:r>
            <w:r w:rsidR="00F548CE" w:rsidRPr="00EC247F">
              <w:rPr>
                <w:lang w:val="lt-LT"/>
              </w:rPr>
              <w:t>daugelyje</w:t>
            </w:r>
            <w:r w:rsidR="009A1848" w:rsidRPr="00EC247F">
              <w:rPr>
                <w:lang w:val="lt-LT"/>
              </w:rPr>
              <w:t xml:space="preserve"> šalių šie tikslai nėra pasiekti</w:t>
            </w:r>
            <w:r w:rsidR="009A1848" w:rsidRPr="00EC247F">
              <w:rPr>
                <w:rStyle w:val="FootnoteReference"/>
                <w:lang w:val="lt-LT"/>
              </w:rPr>
              <w:footnoteReference w:id="49"/>
            </w:r>
            <w:r w:rsidR="009A1848" w:rsidRPr="00EC247F">
              <w:rPr>
                <w:lang w:val="lt-LT"/>
              </w:rPr>
              <w:t xml:space="preserve">. </w:t>
            </w:r>
            <w:r w:rsidR="009A1848" w:rsidRPr="00B71DB8">
              <w:rPr>
                <w:lang w:val="lt-LT"/>
              </w:rPr>
              <w:t>Interpretuojant rodiklio reikšmes svarbu žinoti, kad jis nebūtinai atspindi vaiko priežiūros paslaugų poreikio patenkinimą, nes</w:t>
            </w:r>
            <w:r w:rsidR="00F548CE" w:rsidRPr="00B71DB8">
              <w:rPr>
                <w:lang w:val="lt-LT"/>
              </w:rPr>
              <w:t xml:space="preserve"> t</w:t>
            </w:r>
            <w:r w:rsidR="009A1848" w:rsidRPr="00B71DB8">
              <w:rPr>
                <w:lang w:val="lt-LT"/>
              </w:rPr>
              <w:t>am įtakos turi daugiau veiksnių, pavyzdžiui, dalis tėvų gali naudotis neformaliomis vaiko priežiūros paslaugomis</w:t>
            </w:r>
            <w:r w:rsidR="009A1848" w:rsidRPr="00B71DB8">
              <w:rPr>
                <w:rStyle w:val="FootnoteReference"/>
                <w:lang w:val="lt-LT"/>
              </w:rPr>
              <w:footnoteReference w:id="50"/>
            </w:r>
            <w:r w:rsidR="009A1848" w:rsidRPr="00B71DB8">
              <w:rPr>
                <w:lang w:val="lt-LT"/>
              </w:rPr>
              <w:t>. Taip pat mažesnes rodiklio vertes, ypač jaunesnėse amžiaus grupėse, gali lemti naudojimasis alternatyviomis</w:t>
            </w:r>
            <w:r w:rsidR="00621A31">
              <w:rPr>
                <w:lang w:val="lt-LT"/>
              </w:rPr>
              <w:t xml:space="preserve"> valstybės remiamomis</w:t>
            </w:r>
            <w:r w:rsidR="009A1848" w:rsidRPr="00B71DB8">
              <w:rPr>
                <w:lang w:val="lt-LT"/>
              </w:rPr>
              <w:t xml:space="preserve"> vaiko </w:t>
            </w:r>
            <w:r w:rsidR="009A1848" w:rsidRPr="00B71DB8">
              <w:rPr>
                <w:lang w:val="lt-LT"/>
              </w:rPr>
              <w:lastRenderedPageBreak/>
              <w:t>priežiūros galimybėmis</w:t>
            </w:r>
            <w:r w:rsidR="00621A31">
              <w:rPr>
                <w:lang w:val="lt-LT"/>
              </w:rPr>
              <w:t xml:space="preserve"> namuose</w:t>
            </w:r>
            <w:r w:rsidR="009A1848" w:rsidRPr="00B71DB8">
              <w:rPr>
                <w:lang w:val="lt-LT"/>
              </w:rPr>
              <w:t xml:space="preserve"> – motinystės, tėvystės</w:t>
            </w:r>
            <w:r w:rsidR="00621A31">
              <w:rPr>
                <w:lang w:val="lt-LT"/>
              </w:rPr>
              <w:t>, vaiko priežiūros atostogos</w:t>
            </w:r>
            <w:r w:rsidR="009A1848" w:rsidRPr="00621A31">
              <w:rPr>
                <w:lang w:val="lt-LT"/>
              </w:rPr>
              <w:t>.</w:t>
            </w:r>
            <w:r w:rsidR="004464BB" w:rsidRPr="00EC247F">
              <w:rPr>
                <w:lang w:val="lt-LT"/>
              </w:rPr>
              <w:t xml:space="preserve"> </w:t>
            </w:r>
          </w:p>
        </w:tc>
      </w:tr>
      <w:tr w:rsidR="00C21ADE" w:rsidRPr="00485D1C" w14:paraId="26676F4A" w14:textId="77777777" w:rsidTr="00AD1B26">
        <w:trPr>
          <w:jc w:val="center"/>
        </w:trPr>
        <w:tc>
          <w:tcPr>
            <w:tcW w:w="570" w:type="dxa"/>
            <w:tcBorders>
              <w:bottom w:val="single" w:sz="4" w:space="0" w:color="auto"/>
            </w:tcBorders>
          </w:tcPr>
          <w:p w14:paraId="4BEA7778" w14:textId="77777777" w:rsidR="00C21ADE" w:rsidRPr="00EC247F" w:rsidRDefault="00741A16" w:rsidP="00695B8A">
            <w:pPr>
              <w:rPr>
                <w:lang w:val="lt-LT"/>
              </w:rPr>
            </w:pPr>
            <w:r w:rsidRPr="00EC247F">
              <w:rPr>
                <w:lang w:val="lt-LT"/>
              </w:rPr>
              <w:lastRenderedPageBreak/>
              <w:t>20</w:t>
            </w:r>
            <w:r w:rsidR="00C21ADE" w:rsidRPr="00EC247F">
              <w:rPr>
                <w:lang w:val="lt-LT"/>
              </w:rPr>
              <w:t>.</w:t>
            </w:r>
          </w:p>
        </w:tc>
        <w:tc>
          <w:tcPr>
            <w:tcW w:w="3115" w:type="dxa"/>
            <w:tcBorders>
              <w:bottom w:val="single" w:sz="4" w:space="0" w:color="auto"/>
            </w:tcBorders>
          </w:tcPr>
          <w:p w14:paraId="7CF60770" w14:textId="4210C657" w:rsidR="00C21ADE" w:rsidRPr="00723E5D" w:rsidRDefault="00C21ADE" w:rsidP="00DA7D48">
            <w:pPr>
              <w:rPr>
                <w:lang w:val="lt-LT"/>
              </w:rPr>
            </w:pPr>
            <w:r w:rsidRPr="00723E5D">
              <w:rPr>
                <w:lang w:val="lt-LT"/>
              </w:rPr>
              <w:t>Neformalia</w:t>
            </w:r>
            <w:r w:rsidR="005309A2" w:rsidRPr="00723E5D">
              <w:rPr>
                <w:lang w:val="lt-LT"/>
              </w:rPr>
              <w:t>ja</w:t>
            </w:r>
            <w:r w:rsidRPr="00723E5D">
              <w:rPr>
                <w:lang w:val="lt-LT"/>
              </w:rPr>
              <w:t xml:space="preserve">me ugdyme dalyvaujančių </w:t>
            </w:r>
            <w:r w:rsidR="00704682" w:rsidRPr="00723E5D">
              <w:rPr>
                <w:lang w:val="lt-LT"/>
              </w:rPr>
              <w:t>moki</w:t>
            </w:r>
            <w:r w:rsidR="00DA7D48" w:rsidRPr="00723E5D">
              <w:rPr>
                <w:lang w:val="lt-LT"/>
              </w:rPr>
              <w:t>n</w:t>
            </w:r>
            <w:r w:rsidR="00704682" w:rsidRPr="00723E5D">
              <w:rPr>
                <w:lang w:val="lt-LT"/>
              </w:rPr>
              <w:t>ių</w:t>
            </w:r>
            <w:r w:rsidRPr="00723E5D">
              <w:rPr>
                <w:lang w:val="lt-LT"/>
              </w:rPr>
              <w:t xml:space="preserve"> dalis</w:t>
            </w:r>
            <w:r w:rsidR="007F2B96" w:rsidRPr="00723E5D">
              <w:rPr>
                <w:lang w:val="lt-LT"/>
              </w:rPr>
              <w:t xml:space="preserve">, palyginti su atitinkamo amžiaus </w:t>
            </w:r>
            <w:r w:rsidR="00DA7D48" w:rsidRPr="00723E5D">
              <w:rPr>
                <w:lang w:val="lt-LT"/>
              </w:rPr>
              <w:t>mokiniais</w:t>
            </w:r>
            <w:r w:rsidR="007F2B96" w:rsidRPr="00723E5D">
              <w:rPr>
                <w:lang w:val="lt-LT"/>
              </w:rPr>
              <w:t xml:space="preserve"> (proc.)</w:t>
            </w:r>
          </w:p>
        </w:tc>
        <w:tc>
          <w:tcPr>
            <w:tcW w:w="2340" w:type="dxa"/>
            <w:tcBorders>
              <w:bottom w:val="single" w:sz="4" w:space="0" w:color="auto"/>
            </w:tcBorders>
          </w:tcPr>
          <w:p w14:paraId="2DF539BC" w14:textId="33B4BEE2" w:rsidR="00757568" w:rsidRPr="00723E5D" w:rsidRDefault="00757568" w:rsidP="00201B40">
            <w:pPr>
              <w:rPr>
                <w:lang w:val="lt-LT"/>
              </w:rPr>
            </w:pPr>
            <w:r w:rsidRPr="00723E5D">
              <w:rPr>
                <w:lang w:val="lt-LT"/>
              </w:rPr>
              <w:t>Lytis</w:t>
            </w:r>
          </w:p>
          <w:p w14:paraId="05885385" w14:textId="77777777" w:rsidR="00201B40" w:rsidRPr="00723E5D" w:rsidRDefault="00201B40" w:rsidP="00201B40">
            <w:pPr>
              <w:rPr>
                <w:lang w:val="lt-LT"/>
              </w:rPr>
            </w:pPr>
            <w:r w:rsidRPr="00723E5D">
              <w:rPr>
                <w:lang w:val="lt-LT"/>
              </w:rPr>
              <w:t xml:space="preserve">Savivaldybės </w:t>
            </w:r>
          </w:p>
          <w:p w14:paraId="59F8C44C" w14:textId="466C0CAE" w:rsidR="00C21ADE" w:rsidRPr="00723E5D" w:rsidRDefault="00201B40" w:rsidP="00201B40">
            <w:pPr>
              <w:rPr>
                <w:lang w:val="lt-LT"/>
              </w:rPr>
            </w:pPr>
            <w:r w:rsidRPr="00723E5D">
              <w:rPr>
                <w:lang w:val="lt-LT"/>
              </w:rPr>
              <w:t>Amžius</w:t>
            </w:r>
            <w:r w:rsidR="0090544E" w:rsidRPr="00723E5D">
              <w:rPr>
                <w:lang w:val="lt-LT"/>
              </w:rPr>
              <w:t xml:space="preserve"> (7-15; 16-19)</w:t>
            </w:r>
          </w:p>
        </w:tc>
        <w:tc>
          <w:tcPr>
            <w:tcW w:w="1727" w:type="dxa"/>
            <w:tcBorders>
              <w:bottom w:val="single" w:sz="4" w:space="0" w:color="auto"/>
            </w:tcBorders>
          </w:tcPr>
          <w:p w14:paraId="378F6D2E" w14:textId="701D825B" w:rsidR="00C21ADE" w:rsidRPr="00EC247F" w:rsidRDefault="007F067F" w:rsidP="00695B8A">
            <w:pPr>
              <w:rPr>
                <w:lang w:val="lt-LT"/>
              </w:rPr>
            </w:pPr>
            <w:r>
              <w:rPr>
                <w:lang w:val="lt-LT"/>
              </w:rPr>
              <w:t>Naujas rodiklis</w:t>
            </w:r>
          </w:p>
        </w:tc>
        <w:tc>
          <w:tcPr>
            <w:tcW w:w="1243" w:type="dxa"/>
            <w:gridSpan w:val="2"/>
            <w:tcBorders>
              <w:bottom w:val="single" w:sz="4" w:space="0" w:color="auto"/>
            </w:tcBorders>
          </w:tcPr>
          <w:p w14:paraId="145C41D3" w14:textId="77777777" w:rsidR="00C21ADE" w:rsidRPr="00EC247F" w:rsidRDefault="001A2E14" w:rsidP="00695B8A">
            <w:pPr>
              <w:rPr>
                <w:lang w:val="lt-LT"/>
              </w:rPr>
            </w:pPr>
            <w:r w:rsidRPr="00EC247F">
              <w:rPr>
                <w:lang w:val="lt-LT"/>
              </w:rPr>
              <w:t>ŠITC</w:t>
            </w:r>
          </w:p>
        </w:tc>
        <w:tc>
          <w:tcPr>
            <w:tcW w:w="6750" w:type="dxa"/>
            <w:tcBorders>
              <w:bottom w:val="single" w:sz="4" w:space="0" w:color="auto"/>
            </w:tcBorders>
          </w:tcPr>
          <w:p w14:paraId="607D6C93" w14:textId="59FE585C" w:rsidR="00C21ADE" w:rsidRPr="00EC247F" w:rsidRDefault="001E2D3F" w:rsidP="001E2D3F">
            <w:pPr>
              <w:rPr>
                <w:lang w:val="lt-LT"/>
              </w:rPr>
            </w:pPr>
            <w:r w:rsidRPr="00EC247F">
              <w:rPr>
                <w:lang w:val="lt-LT"/>
              </w:rPr>
              <w:t>Rodiklis rodo, kokia dalis atitinkamo amžiaus vaikų yra ugdomi pagal neformaliojo ugdymo kryptis (muzikos, dailės, teatro, sporto, techninės kūrybos ir pan.).</w:t>
            </w:r>
          </w:p>
          <w:p w14:paraId="282166B6" w14:textId="77777777" w:rsidR="001E2D3F" w:rsidRPr="00EC247F" w:rsidRDefault="001E2D3F" w:rsidP="001E2D3F">
            <w:pPr>
              <w:rPr>
                <w:lang w:val="lt-LT"/>
              </w:rPr>
            </w:pPr>
          </w:p>
          <w:p w14:paraId="3255F366" w14:textId="4BD06E3C" w:rsidR="001E2D3F" w:rsidRPr="00EC247F" w:rsidRDefault="001E2D3F" w:rsidP="001E2D3F">
            <w:pPr>
              <w:rPr>
                <w:lang w:val="lt-LT"/>
              </w:rPr>
            </w:pPr>
            <w:r w:rsidRPr="00593578">
              <w:rPr>
                <w:b/>
                <w:i/>
                <w:lang w:val="lt-LT"/>
              </w:rPr>
              <w:t>Neformalusis švietimas</w:t>
            </w:r>
            <w:r w:rsidRPr="00593578">
              <w:rPr>
                <w:i/>
                <w:lang w:val="lt-LT"/>
              </w:rPr>
              <w:t xml:space="preserve"> – švietimas pagal įvairias švietimo poreikių tenkinimo, kvalifikacijos tobulinimo, papildomos kompetencijos įgijimo programas</w:t>
            </w:r>
            <w:r w:rsidRPr="00EC247F">
              <w:rPr>
                <w:rStyle w:val="FootnoteReference"/>
                <w:lang w:val="lt-LT"/>
              </w:rPr>
              <w:footnoteReference w:id="51"/>
            </w:r>
            <w:r w:rsidRPr="00EC247F">
              <w:rPr>
                <w:lang w:val="lt-LT"/>
              </w:rPr>
              <w:t>.</w:t>
            </w:r>
          </w:p>
        </w:tc>
      </w:tr>
      <w:tr w:rsidR="00C21ADE" w:rsidRPr="00485D1C" w14:paraId="6CC7DB27" w14:textId="77777777" w:rsidTr="00AD1B26">
        <w:trPr>
          <w:jc w:val="center"/>
        </w:trPr>
        <w:tc>
          <w:tcPr>
            <w:tcW w:w="570" w:type="dxa"/>
            <w:shd w:val="clear" w:color="auto" w:fill="FFFFFF" w:themeFill="background1"/>
          </w:tcPr>
          <w:p w14:paraId="69253E8D" w14:textId="77777777" w:rsidR="00C21ADE" w:rsidRPr="00EC247F" w:rsidRDefault="00C21ADE" w:rsidP="00741A16">
            <w:pPr>
              <w:rPr>
                <w:lang w:val="lt-LT"/>
              </w:rPr>
            </w:pPr>
            <w:r w:rsidRPr="00EC247F">
              <w:rPr>
                <w:lang w:val="lt-LT"/>
              </w:rPr>
              <w:t>2</w:t>
            </w:r>
            <w:r w:rsidR="00741A16" w:rsidRPr="00EC247F">
              <w:rPr>
                <w:lang w:val="lt-LT"/>
              </w:rPr>
              <w:t>1</w:t>
            </w:r>
            <w:r w:rsidRPr="00EC247F">
              <w:rPr>
                <w:lang w:val="lt-LT"/>
              </w:rPr>
              <w:t>.</w:t>
            </w:r>
          </w:p>
        </w:tc>
        <w:tc>
          <w:tcPr>
            <w:tcW w:w="3115" w:type="dxa"/>
            <w:shd w:val="clear" w:color="auto" w:fill="FFFFFF" w:themeFill="background1"/>
          </w:tcPr>
          <w:p w14:paraId="54DD8ACD" w14:textId="77777777" w:rsidR="00C21ADE" w:rsidRPr="00EC247F" w:rsidRDefault="00C21ADE" w:rsidP="00A00F10">
            <w:pPr>
              <w:rPr>
                <w:lang w:val="lt-LT"/>
              </w:rPr>
            </w:pPr>
            <w:r w:rsidRPr="00EC247F">
              <w:rPr>
                <w:lang w:val="lt-LT"/>
              </w:rPr>
              <w:t xml:space="preserve">Apdraustieji (dirbantys) </w:t>
            </w:r>
          </w:p>
        </w:tc>
        <w:tc>
          <w:tcPr>
            <w:tcW w:w="2340" w:type="dxa"/>
            <w:shd w:val="clear" w:color="auto" w:fill="FFFFFF" w:themeFill="background1"/>
          </w:tcPr>
          <w:p w14:paraId="5222C3AC" w14:textId="77777777" w:rsidR="00C21ADE" w:rsidRPr="00EC247F" w:rsidRDefault="00C21ADE" w:rsidP="00695B8A">
            <w:pPr>
              <w:rPr>
                <w:lang w:val="lt-LT"/>
              </w:rPr>
            </w:pPr>
            <w:r w:rsidRPr="00EC247F">
              <w:rPr>
                <w:lang w:val="lt-LT"/>
              </w:rPr>
              <w:t>Lytis</w:t>
            </w:r>
          </w:p>
          <w:p w14:paraId="1AB9783A" w14:textId="77777777" w:rsidR="00C21ADE" w:rsidRPr="00EC247F" w:rsidRDefault="00C21ADE" w:rsidP="00695B8A">
            <w:pPr>
              <w:rPr>
                <w:lang w:val="lt-LT"/>
              </w:rPr>
            </w:pPr>
            <w:r w:rsidRPr="00EC247F">
              <w:rPr>
                <w:lang w:val="lt-LT"/>
              </w:rPr>
              <w:t>Savivaldybė</w:t>
            </w:r>
          </w:p>
          <w:p w14:paraId="5845FB45" w14:textId="77777777" w:rsidR="00C21ADE" w:rsidRPr="00EC247F" w:rsidRDefault="00C21ADE" w:rsidP="00695B8A">
            <w:pPr>
              <w:rPr>
                <w:lang w:val="lt-LT"/>
              </w:rPr>
            </w:pPr>
            <w:r w:rsidRPr="00EC247F">
              <w:rPr>
                <w:lang w:val="lt-LT"/>
              </w:rPr>
              <w:t>Amžius</w:t>
            </w:r>
          </w:p>
          <w:p w14:paraId="1F4210F9" w14:textId="13A863FB" w:rsidR="00A875E9" w:rsidRPr="00EC247F" w:rsidRDefault="00B76DA5" w:rsidP="00695B8A">
            <w:pPr>
              <w:rPr>
                <w:lang w:val="lt-LT"/>
              </w:rPr>
            </w:pPr>
            <w:r>
              <w:rPr>
                <w:lang w:val="lt-LT"/>
              </w:rPr>
              <w:t xml:space="preserve">Sektorius </w:t>
            </w:r>
            <w:r w:rsidRPr="00215D89">
              <w:rPr>
                <w:lang w:val="lt-LT"/>
              </w:rPr>
              <w:t>(valstybinis; privatus</w:t>
            </w:r>
            <w:r>
              <w:rPr>
                <w:lang w:val="lt-LT"/>
              </w:rPr>
              <w:t xml:space="preserve">) </w:t>
            </w:r>
          </w:p>
          <w:p w14:paraId="0FC57ABC" w14:textId="77777777" w:rsidR="00C21ADE" w:rsidRPr="00EC247F" w:rsidRDefault="00C21ADE" w:rsidP="00695B8A">
            <w:pPr>
              <w:rPr>
                <w:lang w:val="lt-LT"/>
              </w:rPr>
            </w:pPr>
            <w:r w:rsidRPr="00EC247F">
              <w:rPr>
                <w:lang w:val="lt-LT"/>
              </w:rPr>
              <w:t>Darbo laiko trukmė (visą ir ne visą darbo laiką dirbantys darbuotojai)</w:t>
            </w:r>
          </w:p>
          <w:p w14:paraId="3C2B36E3" w14:textId="6BBB7555" w:rsidR="007C7E66" w:rsidRPr="00EC247F" w:rsidRDefault="00C21ADE" w:rsidP="00695B8A">
            <w:pPr>
              <w:rPr>
                <w:lang w:val="lt-LT"/>
              </w:rPr>
            </w:pPr>
            <w:r w:rsidRPr="00EC247F">
              <w:rPr>
                <w:lang w:val="lt-LT"/>
              </w:rPr>
              <w:t>Užimtumo pobūdis (samdomieji darbuotojai; savarankiškai dirbantys asmenys</w:t>
            </w:r>
            <w:r w:rsidRPr="00723E5D">
              <w:rPr>
                <w:lang w:val="lt-LT"/>
              </w:rPr>
              <w:t>)</w:t>
            </w:r>
            <w:r w:rsidR="00AB7B3D">
              <w:rPr>
                <w:lang w:val="lt-LT"/>
              </w:rPr>
              <w:t xml:space="preserve"> </w:t>
            </w:r>
          </w:p>
        </w:tc>
        <w:tc>
          <w:tcPr>
            <w:tcW w:w="1727" w:type="dxa"/>
            <w:shd w:val="clear" w:color="auto" w:fill="FFFFFF" w:themeFill="background1"/>
          </w:tcPr>
          <w:p w14:paraId="60E583B8" w14:textId="341D112D" w:rsidR="00C21ADE" w:rsidRPr="00EC247F" w:rsidRDefault="008E56A8" w:rsidP="00695B8A">
            <w:pPr>
              <w:rPr>
                <w:lang w:val="lt-LT"/>
              </w:rPr>
            </w:pPr>
            <w:r>
              <w:rPr>
                <w:lang w:val="lt-LT"/>
              </w:rPr>
              <w:t>Naujas rodiklis</w:t>
            </w:r>
          </w:p>
        </w:tc>
        <w:tc>
          <w:tcPr>
            <w:tcW w:w="1243" w:type="dxa"/>
            <w:gridSpan w:val="2"/>
            <w:shd w:val="clear" w:color="auto" w:fill="FFFFFF" w:themeFill="background1"/>
          </w:tcPr>
          <w:p w14:paraId="5FFB2134" w14:textId="77777777" w:rsidR="00C21ADE" w:rsidRPr="00EC247F" w:rsidRDefault="00C21ADE" w:rsidP="00695B8A">
            <w:pPr>
              <w:rPr>
                <w:lang w:val="lt-LT"/>
              </w:rPr>
            </w:pPr>
            <w:r w:rsidRPr="00EC247F">
              <w:rPr>
                <w:lang w:val="lt-LT"/>
              </w:rPr>
              <w:t>LSD</w:t>
            </w:r>
            <w:r w:rsidR="00683C3A" w:rsidRPr="00EC247F">
              <w:rPr>
                <w:lang w:val="lt-LT"/>
              </w:rPr>
              <w:t xml:space="preserve">/ </w:t>
            </w:r>
            <w:r w:rsidR="00683C3A" w:rsidRPr="00723E5D">
              <w:rPr>
                <w:lang w:val="lt-LT"/>
              </w:rPr>
              <w:t>SODRA</w:t>
            </w:r>
          </w:p>
        </w:tc>
        <w:tc>
          <w:tcPr>
            <w:tcW w:w="6750" w:type="dxa"/>
            <w:shd w:val="clear" w:color="auto" w:fill="FFFFFF" w:themeFill="background1"/>
          </w:tcPr>
          <w:p w14:paraId="66929D32" w14:textId="546BEE4E" w:rsidR="00F84131" w:rsidRPr="00EC247F" w:rsidRDefault="00683C3A" w:rsidP="00E446F5">
            <w:pPr>
              <w:rPr>
                <w:lang w:val="lt-LT"/>
              </w:rPr>
            </w:pPr>
            <w:r w:rsidRPr="00EC247F">
              <w:rPr>
                <w:lang w:val="lt-LT"/>
              </w:rPr>
              <w:t>Rodiklis parodo apdraustųjų valstybiniu socialiniu draudimu (dirbanči</w:t>
            </w:r>
            <w:r w:rsidR="000401A1" w:rsidRPr="00EC247F">
              <w:rPr>
                <w:lang w:val="lt-LT"/>
              </w:rPr>
              <w:t>ųjų</w:t>
            </w:r>
            <w:r w:rsidRPr="00EC247F">
              <w:rPr>
                <w:lang w:val="lt-LT"/>
              </w:rPr>
              <w:t xml:space="preserve">) </w:t>
            </w:r>
            <w:r w:rsidR="00E446F5" w:rsidRPr="00EC247F">
              <w:rPr>
                <w:lang w:val="lt-LT"/>
              </w:rPr>
              <w:t>pasiskirstymą pagal lytį,</w:t>
            </w:r>
            <w:r w:rsidRPr="00EC247F">
              <w:rPr>
                <w:lang w:val="lt-LT"/>
              </w:rPr>
              <w:t xml:space="preserve"> amžių</w:t>
            </w:r>
            <w:r w:rsidR="001657C7">
              <w:rPr>
                <w:lang w:val="lt-LT"/>
              </w:rPr>
              <w:t>,</w:t>
            </w:r>
            <w:r w:rsidR="00BD5614">
              <w:rPr>
                <w:lang w:val="lt-LT"/>
              </w:rPr>
              <w:t xml:space="preserve"> sekto</w:t>
            </w:r>
            <w:r w:rsidR="001118D0">
              <w:rPr>
                <w:lang w:val="lt-LT"/>
              </w:rPr>
              <w:t>r</w:t>
            </w:r>
            <w:r w:rsidR="00BD5614">
              <w:rPr>
                <w:lang w:val="lt-LT"/>
              </w:rPr>
              <w:t>ių</w:t>
            </w:r>
            <w:r w:rsidR="00E446F5" w:rsidRPr="00EC247F">
              <w:rPr>
                <w:lang w:val="lt-LT"/>
              </w:rPr>
              <w:t xml:space="preserve"> ir užimtumo pobūdį</w:t>
            </w:r>
            <w:r w:rsidRPr="00EC247F">
              <w:rPr>
                <w:lang w:val="lt-LT"/>
              </w:rPr>
              <w:t xml:space="preserve">. Interpretuojant rodiklio reikšmes svarbu </w:t>
            </w:r>
            <w:r w:rsidRPr="001118D0">
              <w:rPr>
                <w:u w:val="single"/>
                <w:lang w:val="lt-LT"/>
              </w:rPr>
              <w:t>atkreipti dėmesį į esminį jo ribotumą</w:t>
            </w:r>
            <w:r w:rsidRPr="00EC247F">
              <w:rPr>
                <w:lang w:val="lt-LT"/>
              </w:rPr>
              <w:t xml:space="preserve"> –</w:t>
            </w:r>
            <w:r w:rsidR="00A875E9" w:rsidRPr="00EC247F">
              <w:rPr>
                <w:lang w:val="lt-LT"/>
              </w:rPr>
              <w:t xml:space="preserve"> </w:t>
            </w:r>
            <w:r w:rsidR="00C21ADE" w:rsidRPr="00EC247F">
              <w:rPr>
                <w:lang w:val="lt-LT"/>
              </w:rPr>
              <w:t>darbuotojų skaičius skaičiuojamas pagal įmonės registracijos vietą, t. y. kiek atitinkamoje savivaldybėje registru</w:t>
            </w:r>
            <w:r w:rsidR="00E446F5" w:rsidRPr="00EC247F">
              <w:rPr>
                <w:lang w:val="lt-LT"/>
              </w:rPr>
              <w:t>otose įmonėse dirba darbuotojų</w:t>
            </w:r>
            <w:r w:rsidR="00C21ADE" w:rsidRPr="00EC247F">
              <w:rPr>
                <w:lang w:val="lt-LT"/>
              </w:rPr>
              <w:t xml:space="preserve">. Pagal faktišką </w:t>
            </w:r>
            <w:r w:rsidR="00E446F5" w:rsidRPr="00EC247F">
              <w:rPr>
                <w:lang w:val="lt-LT"/>
              </w:rPr>
              <w:t xml:space="preserve">darbuotojo </w:t>
            </w:r>
            <w:r w:rsidR="00C21ADE" w:rsidRPr="00EC247F">
              <w:rPr>
                <w:lang w:val="lt-LT"/>
              </w:rPr>
              <w:t xml:space="preserve">gyvenamąją vietą </w:t>
            </w:r>
            <w:r w:rsidR="00E446F5" w:rsidRPr="00EC247F">
              <w:rPr>
                <w:lang w:val="lt-LT"/>
              </w:rPr>
              <w:t>nėra</w:t>
            </w:r>
            <w:r w:rsidR="00C21ADE" w:rsidRPr="00EC247F">
              <w:rPr>
                <w:lang w:val="lt-LT"/>
              </w:rPr>
              <w:t xml:space="preserve"> galimybės įvertinti, nes daug darbuotojų, deklaravusių gyvenamąją vietą vienoje savivaldybėje</w:t>
            </w:r>
            <w:r w:rsidR="00A875E9" w:rsidRPr="00EC247F">
              <w:rPr>
                <w:lang w:val="lt-LT"/>
              </w:rPr>
              <w:t>,</w:t>
            </w:r>
            <w:r w:rsidR="00C21ADE" w:rsidRPr="00EC247F">
              <w:rPr>
                <w:lang w:val="lt-LT"/>
              </w:rPr>
              <w:t xml:space="preserve"> iš tikrųjų dirba ir gyvena kitoje savivaldybėje. </w:t>
            </w:r>
          </w:p>
          <w:p w14:paraId="21A575E9" w14:textId="77777777" w:rsidR="00E446F5" w:rsidRPr="00EC247F" w:rsidRDefault="00E446F5" w:rsidP="00E446F5">
            <w:pPr>
              <w:rPr>
                <w:lang w:val="lt-LT"/>
              </w:rPr>
            </w:pPr>
          </w:p>
          <w:p w14:paraId="4B21DBB8" w14:textId="37200FFC" w:rsidR="00723E5D" w:rsidRPr="00723E5D" w:rsidRDefault="00E03477" w:rsidP="00723E5D">
            <w:pPr>
              <w:rPr>
                <w:lang w:val="lt-LT"/>
              </w:rPr>
            </w:pPr>
            <w:r w:rsidRPr="00E03477">
              <w:rPr>
                <w:i/>
                <w:u w:val="single"/>
                <w:lang w:val="lt-LT"/>
              </w:rPr>
              <w:t>Dalinai pilka zona</w:t>
            </w:r>
            <w:r w:rsidRPr="00723E5D">
              <w:rPr>
                <w:i/>
                <w:lang w:val="lt-LT"/>
              </w:rPr>
              <w:t>.</w:t>
            </w:r>
            <w:r>
              <w:rPr>
                <w:i/>
                <w:lang w:val="lt-LT"/>
              </w:rPr>
              <w:t xml:space="preserve"> </w:t>
            </w:r>
            <w:r w:rsidR="00E446F5" w:rsidRPr="00EC247F">
              <w:rPr>
                <w:lang w:val="lt-LT"/>
              </w:rPr>
              <w:t>Duomenys apie darbuotojų darbo laiko trukmę nėra renkami</w:t>
            </w:r>
            <w:r w:rsidR="00461B3B" w:rsidRPr="00EC247F">
              <w:rPr>
                <w:lang w:val="lt-LT"/>
              </w:rPr>
              <w:t>, todėl tokiu pjūviu rodiklio neįmanoma paskaičiuoti.</w:t>
            </w:r>
            <w:r w:rsidR="00723E5D">
              <w:rPr>
                <w:lang w:val="lt-LT"/>
              </w:rPr>
              <w:t xml:space="preserve"> </w:t>
            </w:r>
          </w:p>
          <w:p w14:paraId="63A930F4" w14:textId="60D34030" w:rsidR="00E446F5" w:rsidRPr="00EC247F" w:rsidRDefault="00E446F5" w:rsidP="00E446F5">
            <w:pPr>
              <w:rPr>
                <w:lang w:val="lt-LT"/>
              </w:rPr>
            </w:pPr>
          </w:p>
        </w:tc>
      </w:tr>
      <w:tr w:rsidR="004321E2" w:rsidRPr="00485D1C" w14:paraId="25BFE7F0" w14:textId="77777777" w:rsidTr="00AD1B26">
        <w:tblPrEx>
          <w:tblCellMar>
            <w:left w:w="108" w:type="dxa"/>
            <w:right w:w="108" w:type="dxa"/>
          </w:tblCellMar>
        </w:tblPrEx>
        <w:trPr>
          <w:jc w:val="center"/>
        </w:trPr>
        <w:tc>
          <w:tcPr>
            <w:tcW w:w="15745" w:type="dxa"/>
            <w:gridSpan w:val="7"/>
          </w:tcPr>
          <w:p w14:paraId="282EC81E" w14:textId="77777777" w:rsidR="004321E2" w:rsidRPr="00EC247F" w:rsidRDefault="004321E2" w:rsidP="008F32C9">
            <w:pPr>
              <w:jc w:val="center"/>
              <w:rPr>
                <w:b/>
                <w:lang w:val="lt-LT"/>
              </w:rPr>
            </w:pPr>
            <w:r w:rsidRPr="00EC247F">
              <w:rPr>
                <w:b/>
                <w:lang w:val="lt-LT"/>
              </w:rPr>
              <w:t>Vyresniojo amžiaus žmonių ir neįgaliųjų priežiūros paslaugų prieinamumas</w:t>
            </w:r>
          </w:p>
        </w:tc>
      </w:tr>
      <w:tr w:rsidR="004321E2" w:rsidRPr="00485D1C" w14:paraId="6AFC8799" w14:textId="77777777" w:rsidTr="00AD1B26">
        <w:tblPrEx>
          <w:tblCellMar>
            <w:left w:w="108" w:type="dxa"/>
            <w:right w:w="108" w:type="dxa"/>
          </w:tblCellMar>
        </w:tblPrEx>
        <w:trPr>
          <w:jc w:val="center"/>
        </w:trPr>
        <w:tc>
          <w:tcPr>
            <w:tcW w:w="570" w:type="dxa"/>
          </w:tcPr>
          <w:p w14:paraId="4E31AF23" w14:textId="53CF970F" w:rsidR="004321E2" w:rsidRPr="00EC247F" w:rsidRDefault="004321E2" w:rsidP="00702435">
            <w:pPr>
              <w:rPr>
                <w:lang w:val="lt-LT"/>
              </w:rPr>
            </w:pPr>
            <w:r w:rsidRPr="00EC247F">
              <w:rPr>
                <w:lang w:val="lt-LT"/>
              </w:rPr>
              <w:t>2</w:t>
            </w:r>
            <w:r w:rsidR="00702435">
              <w:rPr>
                <w:lang w:val="lt-LT"/>
              </w:rPr>
              <w:t>2</w:t>
            </w:r>
            <w:r w:rsidRPr="00EC247F">
              <w:rPr>
                <w:lang w:val="lt-LT"/>
              </w:rPr>
              <w:t>.</w:t>
            </w:r>
          </w:p>
        </w:tc>
        <w:tc>
          <w:tcPr>
            <w:tcW w:w="3115" w:type="dxa"/>
          </w:tcPr>
          <w:p w14:paraId="6318C075" w14:textId="77777777" w:rsidR="00F023C8" w:rsidRPr="00723E5D" w:rsidRDefault="00F023C8" w:rsidP="00F023C8">
            <w:pPr>
              <w:rPr>
                <w:lang w:val="lt-LT"/>
              </w:rPr>
            </w:pPr>
            <w:r w:rsidRPr="00723E5D">
              <w:rPr>
                <w:lang w:val="lt-LT"/>
              </w:rPr>
              <w:t xml:space="preserve">Vietų skaičius globos įstaigose seniems žmonėms metų pabaigoje, tenkantis 100 </w:t>
            </w:r>
            <w:r w:rsidR="004321E2" w:rsidRPr="00723E5D">
              <w:rPr>
                <w:lang w:val="lt-LT"/>
              </w:rPr>
              <w:t>globos įstaig</w:t>
            </w:r>
            <w:r w:rsidRPr="00723E5D">
              <w:rPr>
                <w:lang w:val="lt-LT"/>
              </w:rPr>
              <w:t xml:space="preserve">ų gyventojų </w:t>
            </w:r>
          </w:p>
        </w:tc>
        <w:tc>
          <w:tcPr>
            <w:tcW w:w="2340" w:type="dxa"/>
          </w:tcPr>
          <w:p w14:paraId="479C342D" w14:textId="77777777" w:rsidR="004321E2" w:rsidRPr="00723E5D" w:rsidRDefault="004321E2" w:rsidP="00681862">
            <w:pPr>
              <w:rPr>
                <w:lang w:val="lt-LT"/>
              </w:rPr>
            </w:pPr>
            <w:r w:rsidRPr="00723E5D">
              <w:rPr>
                <w:lang w:val="lt-LT"/>
              </w:rPr>
              <w:t>Savivaldybės</w:t>
            </w:r>
          </w:p>
          <w:p w14:paraId="4E8A7CDC" w14:textId="77777777" w:rsidR="004321E2" w:rsidRPr="00723E5D" w:rsidRDefault="004321E2" w:rsidP="00681862">
            <w:pPr>
              <w:rPr>
                <w:lang w:val="lt-LT"/>
              </w:rPr>
            </w:pPr>
            <w:r w:rsidRPr="00723E5D">
              <w:rPr>
                <w:lang w:val="lt-LT"/>
              </w:rPr>
              <w:t>Lytis</w:t>
            </w:r>
          </w:p>
          <w:p w14:paraId="7BAAA991" w14:textId="77777777" w:rsidR="004321E2" w:rsidRPr="00723E5D" w:rsidRDefault="00834BB5" w:rsidP="00681862">
            <w:pPr>
              <w:rPr>
                <w:lang w:val="lt-LT"/>
              </w:rPr>
            </w:pPr>
            <w:r w:rsidRPr="00723E5D">
              <w:rPr>
                <w:lang w:val="lt-LT"/>
              </w:rPr>
              <w:t>Amžius</w:t>
            </w:r>
            <w:r w:rsidR="002571E9" w:rsidRPr="00723E5D">
              <w:rPr>
                <w:lang w:val="lt-LT"/>
              </w:rPr>
              <w:t xml:space="preserve"> </w:t>
            </w:r>
          </w:p>
          <w:p w14:paraId="31E4EDF2" w14:textId="2DCBB331" w:rsidR="002571E9" w:rsidRPr="00723E5D" w:rsidRDefault="00723E5D" w:rsidP="00723E5D">
            <w:pPr>
              <w:rPr>
                <w:lang w:val="lt-LT"/>
              </w:rPr>
            </w:pPr>
            <w:r w:rsidRPr="00723E5D">
              <w:rPr>
                <w:lang w:val="lt-LT"/>
              </w:rPr>
              <w:t>(</w:t>
            </w:r>
            <w:r w:rsidR="002571E9" w:rsidRPr="00723E5D">
              <w:rPr>
                <w:lang w:val="lt-LT"/>
              </w:rPr>
              <w:t>65</w:t>
            </w:r>
            <w:r w:rsidRPr="00723E5D">
              <w:rPr>
                <w:lang w:val="lt-LT"/>
              </w:rPr>
              <w:t xml:space="preserve"> metai ir vyresni)</w:t>
            </w:r>
          </w:p>
        </w:tc>
        <w:tc>
          <w:tcPr>
            <w:tcW w:w="1740" w:type="dxa"/>
            <w:gridSpan w:val="2"/>
          </w:tcPr>
          <w:p w14:paraId="705D5F4B" w14:textId="77777777" w:rsidR="004321E2" w:rsidRDefault="004321E2" w:rsidP="00681862">
            <w:pPr>
              <w:rPr>
                <w:lang w:val="lt-LT"/>
              </w:rPr>
            </w:pPr>
            <w:r w:rsidRPr="00EC247F">
              <w:rPr>
                <w:lang w:val="lt-LT"/>
              </w:rPr>
              <w:t>Nuo 2010 m.</w:t>
            </w:r>
          </w:p>
          <w:p w14:paraId="36893794" w14:textId="491DBAE7" w:rsidR="007F067F" w:rsidRPr="00EC247F" w:rsidRDefault="007F067F" w:rsidP="00681862">
            <w:pPr>
              <w:rPr>
                <w:lang w:val="lt-LT"/>
              </w:rPr>
            </w:pPr>
            <w:r>
              <w:rPr>
                <w:lang w:val="lt-LT"/>
              </w:rPr>
              <w:t>Naujas rodiklis</w:t>
            </w:r>
          </w:p>
        </w:tc>
        <w:tc>
          <w:tcPr>
            <w:tcW w:w="1230" w:type="dxa"/>
          </w:tcPr>
          <w:p w14:paraId="4925FA5D" w14:textId="77777777" w:rsidR="004321E2" w:rsidRPr="00EC247F" w:rsidRDefault="004321E2" w:rsidP="00681862">
            <w:pPr>
              <w:rPr>
                <w:lang w:val="lt-LT"/>
              </w:rPr>
            </w:pPr>
            <w:r w:rsidRPr="00EC247F">
              <w:rPr>
                <w:lang w:val="lt-LT"/>
              </w:rPr>
              <w:t>LSD</w:t>
            </w:r>
          </w:p>
        </w:tc>
        <w:tc>
          <w:tcPr>
            <w:tcW w:w="6750" w:type="dxa"/>
          </w:tcPr>
          <w:p w14:paraId="3C8A1724" w14:textId="3C483080" w:rsidR="00433693" w:rsidRPr="00EC247F" w:rsidRDefault="00834BB5" w:rsidP="004B600A">
            <w:pPr>
              <w:rPr>
                <w:lang w:val="lt-LT"/>
              </w:rPr>
            </w:pPr>
            <w:r w:rsidRPr="00EC247F">
              <w:rPr>
                <w:lang w:val="lt-LT"/>
              </w:rPr>
              <w:t xml:space="preserve">Lietuvoje ir kitose Europos šalyse patiriamas spartus gyventojų senėjimas ir ši tendencija, prognozuojama, nesikeis bent </w:t>
            </w:r>
            <w:r w:rsidRPr="00315C3F">
              <w:rPr>
                <w:lang w:val="lt-LT"/>
              </w:rPr>
              <w:t>iki XX</w:t>
            </w:r>
            <w:r w:rsidR="00315C3F" w:rsidRPr="00315C3F">
              <w:rPr>
                <w:lang w:val="lt-LT"/>
              </w:rPr>
              <w:t>I</w:t>
            </w:r>
            <w:r w:rsidRPr="00315C3F">
              <w:rPr>
                <w:lang w:val="lt-LT"/>
              </w:rPr>
              <w:t xml:space="preserve"> a.</w:t>
            </w:r>
            <w:r w:rsidRPr="00EC247F">
              <w:rPr>
                <w:lang w:val="lt-LT"/>
              </w:rPr>
              <w:t xml:space="preserve"> vidurio</w:t>
            </w:r>
            <w:r w:rsidR="00C312C1" w:rsidRPr="00EC247F">
              <w:rPr>
                <w:rStyle w:val="FootnoteReference"/>
                <w:lang w:val="lt-LT"/>
              </w:rPr>
              <w:footnoteReference w:id="52"/>
            </w:r>
            <w:r w:rsidR="00C312C1" w:rsidRPr="00EC247F">
              <w:rPr>
                <w:lang w:val="lt-LT"/>
              </w:rPr>
              <w:t>.</w:t>
            </w:r>
            <w:r w:rsidRPr="00EC247F">
              <w:rPr>
                <w:lang w:val="lt-LT"/>
              </w:rPr>
              <w:t xml:space="preserve"> Tyrimai rodo, kad didži</w:t>
            </w:r>
            <w:r w:rsidR="00C312C1" w:rsidRPr="00EC247F">
              <w:rPr>
                <w:lang w:val="lt-LT"/>
              </w:rPr>
              <w:t>oji dalis</w:t>
            </w:r>
            <w:r w:rsidRPr="00EC247F">
              <w:rPr>
                <w:lang w:val="lt-LT"/>
              </w:rPr>
              <w:t xml:space="preserve"> </w:t>
            </w:r>
            <w:r w:rsidR="00C312C1" w:rsidRPr="00EC247F">
              <w:rPr>
                <w:lang w:val="lt-LT"/>
              </w:rPr>
              <w:t>pagyvenusių žmonių priežiūros</w:t>
            </w:r>
            <w:r w:rsidR="004464BB" w:rsidRPr="00EC247F">
              <w:rPr>
                <w:lang w:val="lt-LT"/>
              </w:rPr>
              <w:t xml:space="preserve"> darbų</w:t>
            </w:r>
            <w:r w:rsidR="00C312C1" w:rsidRPr="00EC247F">
              <w:rPr>
                <w:lang w:val="lt-LT"/>
              </w:rPr>
              <w:t xml:space="preserve"> tenka </w:t>
            </w:r>
            <w:r w:rsidRPr="00EC247F">
              <w:rPr>
                <w:lang w:val="lt-LT"/>
              </w:rPr>
              <w:t>moter</w:t>
            </w:r>
            <w:r w:rsidR="00C312C1" w:rsidRPr="00EC247F">
              <w:rPr>
                <w:lang w:val="lt-LT"/>
              </w:rPr>
              <w:t>im</w:t>
            </w:r>
            <w:r w:rsidRPr="00EC247F">
              <w:rPr>
                <w:lang w:val="lt-LT"/>
              </w:rPr>
              <w:t>s</w:t>
            </w:r>
            <w:r w:rsidR="00C312C1" w:rsidRPr="00EC247F">
              <w:rPr>
                <w:lang w:val="lt-LT"/>
              </w:rPr>
              <w:t xml:space="preserve">. Dėl to </w:t>
            </w:r>
            <w:r w:rsidR="009C230E" w:rsidRPr="00EC247F">
              <w:rPr>
                <w:lang w:val="lt-LT"/>
              </w:rPr>
              <w:t>dažnai nukenčia moterų darbinė, apmokama veikla. Siekiant įtvirtin</w:t>
            </w:r>
            <w:r w:rsidR="005717A3">
              <w:rPr>
                <w:lang w:val="lt-LT"/>
              </w:rPr>
              <w:t>t</w:t>
            </w:r>
            <w:r w:rsidR="009C230E" w:rsidRPr="00EC247F">
              <w:rPr>
                <w:lang w:val="lt-LT"/>
              </w:rPr>
              <w:t xml:space="preserve">i faktinę </w:t>
            </w:r>
            <w:r w:rsidR="00433693" w:rsidRPr="00EC247F">
              <w:rPr>
                <w:lang w:val="lt-LT"/>
              </w:rPr>
              <w:t xml:space="preserve">lyčių lygybę svarbu palengvinti neapmokamo globos darbo naštą užtikrinant viešų paslaugų prieinamumą. </w:t>
            </w:r>
          </w:p>
          <w:p w14:paraId="61A813E9" w14:textId="4B052EAD" w:rsidR="00834BB5" w:rsidRPr="00EC247F" w:rsidRDefault="00834BB5" w:rsidP="004B600A">
            <w:pPr>
              <w:rPr>
                <w:lang w:val="lt-LT"/>
              </w:rPr>
            </w:pPr>
          </w:p>
          <w:p w14:paraId="51029435" w14:textId="52E2C9FE" w:rsidR="004321E2" w:rsidRPr="00EC247F" w:rsidRDefault="004B600A" w:rsidP="001B4233">
            <w:pPr>
              <w:rPr>
                <w:lang w:val="lt-LT"/>
              </w:rPr>
            </w:pPr>
            <w:r w:rsidRPr="00EC247F">
              <w:rPr>
                <w:lang w:val="lt-LT"/>
              </w:rPr>
              <w:lastRenderedPageBreak/>
              <w:t>Rodiklis rodo, kiek vietų valstybės (apskričių), savivaldybių, visuomeninių organizacijų, parapijų, privačiose ir kitose (specialiosiose) globos įstaigose tenka 100 tų įstaigų gyventojų. Rodiklis padeda įvertinti, ar senyvo amžiaus žmonių priežiūros paslaugų prieinamumo poreikis yra patenkinamas.</w:t>
            </w:r>
            <w:r w:rsidR="00834BB5" w:rsidRPr="00EC247F">
              <w:rPr>
                <w:lang w:val="lt-LT"/>
              </w:rPr>
              <w:t xml:space="preserve"> </w:t>
            </w:r>
            <w:r w:rsidR="00657ED5" w:rsidRPr="005717A3">
              <w:rPr>
                <w:u w:val="single"/>
                <w:lang w:val="lt-LT"/>
              </w:rPr>
              <w:t>Atkreiptinas dėmesys</w:t>
            </w:r>
            <w:r w:rsidR="00657ED5" w:rsidRPr="00EC247F">
              <w:rPr>
                <w:lang w:val="lt-LT"/>
              </w:rPr>
              <w:t xml:space="preserve"> į tai, kad, esant poreikiui, s</w:t>
            </w:r>
            <w:r w:rsidR="00834BB5" w:rsidRPr="00EC247F">
              <w:rPr>
                <w:lang w:val="lt-LT"/>
              </w:rPr>
              <w:t>avivaldybės</w:t>
            </w:r>
            <w:r w:rsidR="00657ED5" w:rsidRPr="00EC247F">
              <w:rPr>
                <w:lang w:val="lt-LT"/>
              </w:rPr>
              <w:t xml:space="preserve"> gali</w:t>
            </w:r>
            <w:r w:rsidR="00834BB5" w:rsidRPr="00EC247F">
              <w:rPr>
                <w:lang w:val="lt-LT"/>
              </w:rPr>
              <w:t xml:space="preserve"> </w:t>
            </w:r>
            <w:r w:rsidR="00657ED5" w:rsidRPr="00EC247F">
              <w:rPr>
                <w:bCs/>
                <w:lang w:val="lt-LT"/>
              </w:rPr>
              <w:t>savo gyventojus apgyvendinti kitų savivaldybių globos įstaigose.</w:t>
            </w:r>
            <w:r w:rsidR="005717A3">
              <w:rPr>
                <w:bCs/>
                <w:lang w:val="lt-LT"/>
              </w:rPr>
              <w:t xml:space="preserve"> </w:t>
            </w:r>
          </w:p>
        </w:tc>
      </w:tr>
      <w:tr w:rsidR="004321E2" w:rsidRPr="00485D1C" w14:paraId="082CF0C4" w14:textId="77777777" w:rsidTr="00AD1B26">
        <w:tblPrEx>
          <w:tblCellMar>
            <w:left w:w="108" w:type="dxa"/>
            <w:right w:w="108" w:type="dxa"/>
          </w:tblCellMar>
        </w:tblPrEx>
        <w:trPr>
          <w:jc w:val="center"/>
        </w:trPr>
        <w:tc>
          <w:tcPr>
            <w:tcW w:w="570" w:type="dxa"/>
          </w:tcPr>
          <w:p w14:paraId="74EAEA52" w14:textId="67EA9F3B" w:rsidR="004321E2" w:rsidRPr="00EC247F" w:rsidRDefault="004321E2" w:rsidP="00741A16">
            <w:pPr>
              <w:rPr>
                <w:lang w:val="lt-LT"/>
              </w:rPr>
            </w:pPr>
            <w:r w:rsidRPr="00EC247F">
              <w:rPr>
                <w:lang w:val="lt-LT"/>
              </w:rPr>
              <w:lastRenderedPageBreak/>
              <w:t>2</w:t>
            </w:r>
            <w:r w:rsidR="00702435">
              <w:rPr>
                <w:lang w:val="lt-LT"/>
              </w:rPr>
              <w:t>3</w:t>
            </w:r>
            <w:r w:rsidRPr="00EC247F">
              <w:rPr>
                <w:lang w:val="lt-LT"/>
              </w:rPr>
              <w:t>.</w:t>
            </w:r>
          </w:p>
        </w:tc>
        <w:tc>
          <w:tcPr>
            <w:tcW w:w="3115" w:type="dxa"/>
          </w:tcPr>
          <w:p w14:paraId="732C41CC" w14:textId="77777777" w:rsidR="004321E2" w:rsidRPr="00723E5D" w:rsidRDefault="004321E2" w:rsidP="00F023C8">
            <w:pPr>
              <w:rPr>
                <w:lang w:val="lt-LT"/>
              </w:rPr>
            </w:pPr>
            <w:r w:rsidRPr="00723E5D">
              <w:rPr>
                <w:lang w:val="lt-LT"/>
              </w:rPr>
              <w:t xml:space="preserve">Vietų skaičius globos įstaigose </w:t>
            </w:r>
            <w:r w:rsidR="00A9040A" w:rsidRPr="00723E5D">
              <w:rPr>
                <w:lang w:val="lt-LT"/>
              </w:rPr>
              <w:t xml:space="preserve">suaugusiems </w:t>
            </w:r>
            <w:r w:rsidRPr="00723E5D">
              <w:rPr>
                <w:lang w:val="lt-LT"/>
              </w:rPr>
              <w:t>neįgaliesiems metų pabaigoje</w:t>
            </w:r>
            <w:r w:rsidR="00F023C8" w:rsidRPr="00723E5D">
              <w:rPr>
                <w:lang w:val="lt-LT"/>
              </w:rPr>
              <w:t xml:space="preserve">, tenkantis 100 globos įstaigų gyventojų </w:t>
            </w:r>
            <w:r w:rsidRPr="00723E5D">
              <w:rPr>
                <w:lang w:val="lt-LT"/>
              </w:rPr>
              <w:t xml:space="preserve"> </w:t>
            </w:r>
          </w:p>
        </w:tc>
        <w:tc>
          <w:tcPr>
            <w:tcW w:w="2340" w:type="dxa"/>
          </w:tcPr>
          <w:p w14:paraId="03E5329D" w14:textId="77777777" w:rsidR="004321E2" w:rsidRPr="00723E5D" w:rsidRDefault="004321E2" w:rsidP="004321E2">
            <w:pPr>
              <w:rPr>
                <w:lang w:val="lt-LT"/>
              </w:rPr>
            </w:pPr>
            <w:r w:rsidRPr="00723E5D">
              <w:rPr>
                <w:lang w:val="lt-LT"/>
              </w:rPr>
              <w:t>Savivaldybės</w:t>
            </w:r>
          </w:p>
          <w:p w14:paraId="0AD35C1F" w14:textId="77777777" w:rsidR="004321E2" w:rsidRPr="00723E5D" w:rsidRDefault="004321E2" w:rsidP="004321E2">
            <w:pPr>
              <w:rPr>
                <w:lang w:val="lt-LT"/>
              </w:rPr>
            </w:pPr>
            <w:r w:rsidRPr="00723E5D">
              <w:rPr>
                <w:lang w:val="lt-LT"/>
              </w:rPr>
              <w:t>Lytis</w:t>
            </w:r>
          </w:p>
          <w:p w14:paraId="7151CBB0" w14:textId="77777777" w:rsidR="004321E2" w:rsidRPr="00723E5D" w:rsidRDefault="004321E2" w:rsidP="004321E2">
            <w:pPr>
              <w:rPr>
                <w:lang w:val="lt-LT"/>
              </w:rPr>
            </w:pPr>
            <w:r w:rsidRPr="00723E5D">
              <w:rPr>
                <w:lang w:val="lt-LT"/>
              </w:rPr>
              <w:t>Amžius</w:t>
            </w:r>
          </w:p>
          <w:p w14:paraId="6981D5BE" w14:textId="3913B474" w:rsidR="002571E9" w:rsidRPr="00723E5D" w:rsidRDefault="00723E5D" w:rsidP="004321E2">
            <w:pPr>
              <w:rPr>
                <w:lang w:val="lt-LT"/>
              </w:rPr>
            </w:pPr>
            <w:r w:rsidRPr="00723E5D">
              <w:rPr>
                <w:lang w:val="lt-LT"/>
              </w:rPr>
              <w:t>(</w:t>
            </w:r>
            <w:r w:rsidR="002571E9" w:rsidRPr="00723E5D">
              <w:rPr>
                <w:lang w:val="lt-LT"/>
              </w:rPr>
              <w:t>18</w:t>
            </w:r>
            <w:r w:rsidRPr="00723E5D">
              <w:rPr>
                <w:lang w:val="lt-LT"/>
              </w:rPr>
              <w:t xml:space="preserve"> metų ir vyresni)</w:t>
            </w:r>
          </w:p>
        </w:tc>
        <w:tc>
          <w:tcPr>
            <w:tcW w:w="1740" w:type="dxa"/>
            <w:gridSpan w:val="2"/>
          </w:tcPr>
          <w:p w14:paraId="14981719" w14:textId="77777777" w:rsidR="004321E2" w:rsidRDefault="004321E2" w:rsidP="00681862">
            <w:pPr>
              <w:rPr>
                <w:lang w:val="lt-LT"/>
              </w:rPr>
            </w:pPr>
            <w:r w:rsidRPr="00EC247F">
              <w:rPr>
                <w:lang w:val="lt-LT"/>
              </w:rPr>
              <w:t>Nuo 2010 m.</w:t>
            </w:r>
          </w:p>
          <w:p w14:paraId="34F1DAFA" w14:textId="29BAD221" w:rsidR="007F067F" w:rsidRPr="00EC247F" w:rsidRDefault="007F067F" w:rsidP="00681862">
            <w:pPr>
              <w:rPr>
                <w:lang w:val="lt-LT"/>
              </w:rPr>
            </w:pPr>
            <w:r>
              <w:rPr>
                <w:lang w:val="lt-LT"/>
              </w:rPr>
              <w:t>Naujas rodiklis</w:t>
            </w:r>
          </w:p>
        </w:tc>
        <w:tc>
          <w:tcPr>
            <w:tcW w:w="1230" w:type="dxa"/>
          </w:tcPr>
          <w:p w14:paraId="3D6A7373" w14:textId="77777777" w:rsidR="004321E2" w:rsidRPr="00EC247F" w:rsidRDefault="004321E2" w:rsidP="00681862">
            <w:pPr>
              <w:rPr>
                <w:lang w:val="lt-LT"/>
              </w:rPr>
            </w:pPr>
            <w:r w:rsidRPr="00EC247F">
              <w:rPr>
                <w:lang w:val="lt-LT"/>
              </w:rPr>
              <w:t>LSD</w:t>
            </w:r>
          </w:p>
        </w:tc>
        <w:tc>
          <w:tcPr>
            <w:tcW w:w="6750" w:type="dxa"/>
          </w:tcPr>
          <w:p w14:paraId="7AF501C3" w14:textId="3F7A5548" w:rsidR="00D33EAB" w:rsidRPr="00EC247F" w:rsidRDefault="00D33EAB" w:rsidP="00D33EAB">
            <w:pPr>
              <w:rPr>
                <w:lang w:val="lt-LT"/>
              </w:rPr>
            </w:pPr>
            <w:r w:rsidRPr="00EC247F">
              <w:rPr>
                <w:lang w:val="lt-LT"/>
              </w:rPr>
              <w:t>Tyrimai rodo, kad didžioji dalis neįgalių žmonių priežiūros darbų tenka moterims. Dėl to dažnai nukenčia moterų darbinė, apmokama veikla. Siekiant įtvirtin</w:t>
            </w:r>
            <w:r w:rsidR="000E6F7C">
              <w:rPr>
                <w:lang w:val="lt-LT"/>
              </w:rPr>
              <w:t>t</w:t>
            </w:r>
            <w:r w:rsidRPr="00EC247F">
              <w:rPr>
                <w:lang w:val="lt-LT"/>
              </w:rPr>
              <w:t xml:space="preserve">i faktinę lyčių lygybę svarbu palengvinti neapmokamo globos darbo naštą užtikrinant viešų paslaugų prieinamumą. </w:t>
            </w:r>
          </w:p>
          <w:p w14:paraId="60DFE73C" w14:textId="77777777" w:rsidR="00D33EAB" w:rsidRPr="00EC247F" w:rsidRDefault="00D33EAB" w:rsidP="00D33EAB">
            <w:pPr>
              <w:rPr>
                <w:lang w:val="lt-LT"/>
              </w:rPr>
            </w:pPr>
          </w:p>
          <w:p w14:paraId="37DBD952" w14:textId="776E1E09" w:rsidR="00552376" w:rsidRPr="00EC247F" w:rsidRDefault="00400A60" w:rsidP="00D33EAB">
            <w:pPr>
              <w:rPr>
                <w:lang w:val="lt-LT"/>
              </w:rPr>
            </w:pPr>
            <w:r w:rsidRPr="00EC247F">
              <w:rPr>
                <w:lang w:val="lt-LT"/>
              </w:rPr>
              <w:t xml:space="preserve">Rodiklis rodo, kiek vietų </w:t>
            </w:r>
            <w:r w:rsidR="00552376" w:rsidRPr="00EC247F">
              <w:rPr>
                <w:lang w:val="lt-LT"/>
              </w:rPr>
              <w:t>valstybės (apskričių), savivaldybių, visuomeninių organizacijų, parapijų, privačiose</w:t>
            </w:r>
            <w:r w:rsidR="00552376" w:rsidRPr="00EC247F" w:rsidDel="00552376">
              <w:rPr>
                <w:lang w:val="lt-LT"/>
              </w:rPr>
              <w:t xml:space="preserve"> </w:t>
            </w:r>
            <w:r w:rsidR="00A9040A" w:rsidRPr="00EC247F">
              <w:rPr>
                <w:lang w:val="lt-LT"/>
              </w:rPr>
              <w:t>globos įstaigose suaugusiems neįgaliesiems</w:t>
            </w:r>
            <w:r w:rsidRPr="00EC247F">
              <w:rPr>
                <w:lang w:val="lt-LT"/>
              </w:rPr>
              <w:t xml:space="preserve"> tenka 100 tų įstaigų gyventojų. Rodiklis padeda įvertinti, ar </w:t>
            </w:r>
            <w:r w:rsidR="00A9040A" w:rsidRPr="00EC247F">
              <w:rPr>
                <w:lang w:val="lt-LT"/>
              </w:rPr>
              <w:t xml:space="preserve">suaugusių neįgaliųjų </w:t>
            </w:r>
            <w:r w:rsidRPr="00EC247F">
              <w:rPr>
                <w:lang w:val="lt-LT"/>
              </w:rPr>
              <w:t>priežiūros paslaugų prieinamumo poreikis yra patenkinamas.</w:t>
            </w:r>
            <w:r w:rsidR="00D33EAB" w:rsidRPr="00EC247F">
              <w:rPr>
                <w:lang w:val="lt-LT"/>
              </w:rPr>
              <w:t xml:space="preserve"> </w:t>
            </w:r>
            <w:r w:rsidR="00AE395D" w:rsidRPr="00AE395D">
              <w:rPr>
                <w:u w:val="single"/>
                <w:lang w:val="lt-LT"/>
              </w:rPr>
              <w:t>Atkreiptinas dėmesys</w:t>
            </w:r>
            <w:r w:rsidR="00AE395D" w:rsidRPr="00AE395D">
              <w:rPr>
                <w:lang w:val="lt-LT"/>
              </w:rPr>
              <w:t xml:space="preserve"> į tai, kad, esant poreikiui, savivaldybės gali </w:t>
            </w:r>
            <w:r w:rsidR="00AE395D" w:rsidRPr="00AE395D">
              <w:rPr>
                <w:bCs/>
                <w:lang w:val="lt-LT"/>
              </w:rPr>
              <w:t>savo gyventojus apgyvendinti kitų savivaldybių globos įstaigose.</w:t>
            </w:r>
          </w:p>
        </w:tc>
      </w:tr>
      <w:tr w:rsidR="004321E2" w:rsidRPr="00EC247F" w14:paraId="77E50044" w14:textId="77777777" w:rsidTr="00AD1B26">
        <w:tblPrEx>
          <w:tblCellMar>
            <w:left w:w="108" w:type="dxa"/>
            <w:right w:w="108" w:type="dxa"/>
          </w:tblCellMar>
        </w:tblPrEx>
        <w:trPr>
          <w:jc w:val="center"/>
        </w:trPr>
        <w:tc>
          <w:tcPr>
            <w:tcW w:w="570" w:type="dxa"/>
          </w:tcPr>
          <w:p w14:paraId="3F1D37BD" w14:textId="1F2815EF" w:rsidR="004321E2" w:rsidRPr="00EC247F" w:rsidRDefault="004321E2" w:rsidP="00702435">
            <w:pPr>
              <w:rPr>
                <w:lang w:val="lt-LT"/>
              </w:rPr>
            </w:pPr>
            <w:r w:rsidRPr="00EC247F">
              <w:rPr>
                <w:lang w:val="lt-LT"/>
              </w:rPr>
              <w:t>2</w:t>
            </w:r>
            <w:r w:rsidR="00702435">
              <w:rPr>
                <w:lang w:val="lt-LT"/>
              </w:rPr>
              <w:t>4</w:t>
            </w:r>
            <w:r w:rsidRPr="00EC247F">
              <w:rPr>
                <w:lang w:val="lt-LT"/>
              </w:rPr>
              <w:t>.</w:t>
            </w:r>
          </w:p>
        </w:tc>
        <w:tc>
          <w:tcPr>
            <w:tcW w:w="3115" w:type="dxa"/>
          </w:tcPr>
          <w:p w14:paraId="5EF031C3" w14:textId="77777777" w:rsidR="004321E2" w:rsidRPr="00B60ABD" w:rsidRDefault="004321E2" w:rsidP="00681862">
            <w:pPr>
              <w:rPr>
                <w:lang w:val="lt-LT"/>
              </w:rPr>
            </w:pPr>
            <w:r w:rsidRPr="00B60ABD">
              <w:rPr>
                <w:lang w:val="lt-LT"/>
              </w:rPr>
              <w:t>Socialinių paslaugų asmens namuose gavėjų skaičius, tenkantis 1 tūkst. gyventojų</w:t>
            </w:r>
          </w:p>
        </w:tc>
        <w:tc>
          <w:tcPr>
            <w:tcW w:w="2340" w:type="dxa"/>
          </w:tcPr>
          <w:p w14:paraId="3FB1F974" w14:textId="77777777" w:rsidR="004321E2" w:rsidRPr="00B60ABD" w:rsidRDefault="004321E2" w:rsidP="004321E2">
            <w:pPr>
              <w:rPr>
                <w:lang w:val="lt-LT"/>
              </w:rPr>
            </w:pPr>
            <w:r w:rsidRPr="00B60ABD">
              <w:rPr>
                <w:lang w:val="lt-LT"/>
              </w:rPr>
              <w:t>Savivaldybės</w:t>
            </w:r>
          </w:p>
          <w:p w14:paraId="29BBBB65" w14:textId="77777777" w:rsidR="004321E2" w:rsidRPr="00B60ABD" w:rsidRDefault="004321E2" w:rsidP="004321E2">
            <w:pPr>
              <w:rPr>
                <w:lang w:val="lt-LT"/>
              </w:rPr>
            </w:pPr>
            <w:r w:rsidRPr="00B60ABD">
              <w:rPr>
                <w:lang w:val="lt-LT"/>
              </w:rPr>
              <w:t>Lytis</w:t>
            </w:r>
          </w:p>
          <w:p w14:paraId="2210ECE2" w14:textId="77777777" w:rsidR="004321E2" w:rsidRPr="00B60ABD" w:rsidRDefault="004321E2" w:rsidP="004321E2">
            <w:pPr>
              <w:rPr>
                <w:lang w:val="lt-LT"/>
              </w:rPr>
            </w:pPr>
            <w:r w:rsidRPr="00B60ABD">
              <w:rPr>
                <w:lang w:val="lt-LT"/>
              </w:rPr>
              <w:t>Amžius</w:t>
            </w:r>
          </w:p>
          <w:p w14:paraId="3D9D1820" w14:textId="77777777" w:rsidR="00C35E6F" w:rsidRPr="00B60ABD" w:rsidRDefault="00C35E6F" w:rsidP="004321E2">
            <w:pPr>
              <w:rPr>
                <w:lang w:val="lt-LT"/>
              </w:rPr>
            </w:pPr>
          </w:p>
          <w:p w14:paraId="7E5C4FBF" w14:textId="1D60B7A1" w:rsidR="00C35E6F" w:rsidRPr="00B60ABD" w:rsidRDefault="00C35E6F" w:rsidP="004321E2">
            <w:pPr>
              <w:rPr>
                <w:lang w:val="lt-LT"/>
              </w:rPr>
            </w:pPr>
          </w:p>
        </w:tc>
        <w:tc>
          <w:tcPr>
            <w:tcW w:w="1740" w:type="dxa"/>
            <w:gridSpan w:val="2"/>
          </w:tcPr>
          <w:p w14:paraId="432C3A89" w14:textId="77777777" w:rsidR="004321E2" w:rsidRDefault="004321E2" w:rsidP="00681862">
            <w:pPr>
              <w:rPr>
                <w:lang w:val="lt-LT"/>
              </w:rPr>
            </w:pPr>
            <w:r w:rsidRPr="00EC247F">
              <w:rPr>
                <w:lang w:val="lt-LT"/>
              </w:rPr>
              <w:t>Nuo 2010 m.</w:t>
            </w:r>
          </w:p>
          <w:p w14:paraId="366C54B0" w14:textId="12CE7A21" w:rsidR="000F5079" w:rsidRPr="00EC247F" w:rsidRDefault="000F5079" w:rsidP="00681862">
            <w:pPr>
              <w:rPr>
                <w:lang w:val="lt-LT"/>
              </w:rPr>
            </w:pPr>
            <w:r>
              <w:rPr>
                <w:lang w:val="lt-LT"/>
              </w:rPr>
              <w:t>Dalinai skelbiama (pateikiami absoliutūs sk.)</w:t>
            </w:r>
          </w:p>
        </w:tc>
        <w:tc>
          <w:tcPr>
            <w:tcW w:w="1230" w:type="dxa"/>
          </w:tcPr>
          <w:p w14:paraId="74F9B8FA" w14:textId="7B5845AF" w:rsidR="004321E2" w:rsidRPr="00EC247F" w:rsidRDefault="004321E2" w:rsidP="00681862">
            <w:pPr>
              <w:rPr>
                <w:lang w:val="lt-LT"/>
              </w:rPr>
            </w:pPr>
            <w:r w:rsidRPr="00EC247F">
              <w:rPr>
                <w:lang w:val="lt-LT"/>
              </w:rPr>
              <w:t>LSD</w:t>
            </w:r>
          </w:p>
        </w:tc>
        <w:tc>
          <w:tcPr>
            <w:tcW w:w="6750" w:type="dxa"/>
          </w:tcPr>
          <w:p w14:paraId="591E81B2" w14:textId="1B9788FF" w:rsidR="002C2F3A" w:rsidRPr="00EC247F" w:rsidRDefault="002C2F3A" w:rsidP="002C2F3A">
            <w:pPr>
              <w:rPr>
                <w:lang w:val="lt-LT"/>
              </w:rPr>
            </w:pPr>
            <w:r w:rsidRPr="00EC247F">
              <w:rPr>
                <w:lang w:val="lt-LT"/>
              </w:rPr>
              <w:t>Tyrimai rodo, kad didžioji dalis senyvo amžiaus ir neįgalių žmonių priežiūros darbų tenka moterims. Dėl to dažnai nukenčia moterų darbinė, apmokama veikla. Siekiant įtvirtin</w:t>
            </w:r>
            <w:r w:rsidR="00743E98">
              <w:rPr>
                <w:lang w:val="lt-LT"/>
              </w:rPr>
              <w:t>t</w:t>
            </w:r>
            <w:r w:rsidRPr="00EC247F">
              <w:rPr>
                <w:lang w:val="lt-LT"/>
              </w:rPr>
              <w:t xml:space="preserve">i faktinę lyčių lygybę svarbu palengvinti neapmokamo globos darbo naštą užtikrinant viešų paslaugų prieinamumą. </w:t>
            </w:r>
          </w:p>
          <w:p w14:paraId="42F27E18" w14:textId="77777777" w:rsidR="002C2F3A" w:rsidRPr="00EC247F" w:rsidRDefault="002C2F3A" w:rsidP="00681862">
            <w:pPr>
              <w:rPr>
                <w:lang w:val="lt-LT"/>
              </w:rPr>
            </w:pPr>
          </w:p>
          <w:p w14:paraId="3F167C08" w14:textId="27702750" w:rsidR="004321E2" w:rsidRPr="00EC247F" w:rsidRDefault="00E215A5" w:rsidP="002C2F3A">
            <w:pPr>
              <w:rPr>
                <w:lang w:val="lt-LT"/>
              </w:rPr>
            </w:pPr>
            <w:r w:rsidRPr="00EC247F">
              <w:rPr>
                <w:lang w:val="lt-LT"/>
              </w:rPr>
              <w:t xml:space="preserve">Rodiklis rodo, kiek socialines paslaugas asmens namuose </w:t>
            </w:r>
            <w:r w:rsidR="00743E98" w:rsidRPr="00EC247F">
              <w:rPr>
                <w:lang w:val="lt-LT"/>
              </w:rPr>
              <w:t>gaunančių</w:t>
            </w:r>
            <w:r w:rsidR="00743E98">
              <w:rPr>
                <w:lang w:val="lt-LT"/>
              </w:rPr>
              <w:t>jų</w:t>
            </w:r>
            <w:r w:rsidR="00743E98" w:rsidRPr="00EC247F">
              <w:rPr>
                <w:lang w:val="lt-LT"/>
              </w:rPr>
              <w:t xml:space="preserve"> </w:t>
            </w:r>
            <w:r w:rsidR="002C2F3A" w:rsidRPr="00EC247F">
              <w:rPr>
                <w:lang w:val="lt-LT"/>
              </w:rPr>
              <w:t>senyvo amžiaus</w:t>
            </w:r>
            <w:r w:rsidR="005F3CB0">
              <w:rPr>
                <w:lang w:val="lt-LT"/>
              </w:rPr>
              <w:t xml:space="preserve"> žmonių</w:t>
            </w:r>
            <w:r w:rsidR="002C2F3A" w:rsidRPr="00EC247F">
              <w:rPr>
                <w:lang w:val="lt-LT"/>
              </w:rPr>
              <w:t xml:space="preserve"> ir žmonių su negalia (darbingo amžiaus ir vaikų)</w:t>
            </w:r>
            <w:r w:rsidR="00A16093">
              <w:rPr>
                <w:lang w:val="lt-LT"/>
              </w:rPr>
              <w:t>, įskaitant pagalbos pinigų gavėjus,</w:t>
            </w:r>
            <w:r w:rsidR="002C2F3A" w:rsidRPr="00EC247F">
              <w:rPr>
                <w:lang w:val="lt-LT"/>
              </w:rPr>
              <w:t xml:space="preserve"> </w:t>
            </w:r>
            <w:r w:rsidRPr="00EC247F">
              <w:rPr>
                <w:lang w:val="lt-LT"/>
              </w:rPr>
              <w:t>tenka 1 tūkst. gyventojų.</w:t>
            </w:r>
            <w:r w:rsidR="00033D1B" w:rsidRPr="00EC247F">
              <w:rPr>
                <w:lang w:val="lt-LT"/>
              </w:rPr>
              <w:t xml:space="preserve"> </w:t>
            </w:r>
          </w:p>
          <w:p w14:paraId="3AC3978A" w14:textId="77777777" w:rsidR="0098585F" w:rsidRPr="00EC247F" w:rsidRDefault="0098585F" w:rsidP="002C2F3A">
            <w:pPr>
              <w:rPr>
                <w:lang w:val="lt-LT"/>
              </w:rPr>
            </w:pPr>
          </w:p>
          <w:p w14:paraId="2B3A553E" w14:textId="23AE114F" w:rsidR="0098585F" w:rsidRPr="00EC247F" w:rsidRDefault="0098585F" w:rsidP="0098585F">
            <w:pPr>
              <w:tabs>
                <w:tab w:val="num" w:pos="720"/>
              </w:tabs>
              <w:rPr>
                <w:lang w:val="lt-LT"/>
              </w:rPr>
            </w:pPr>
            <w:r w:rsidRPr="00215D89">
              <w:rPr>
                <w:b/>
                <w:i/>
                <w:lang w:val="lt-LT"/>
              </w:rPr>
              <w:t>Socialinę pagalbą asmens namuose</w:t>
            </w:r>
            <w:r w:rsidRPr="00215D89">
              <w:rPr>
                <w:i/>
                <w:lang w:val="lt-LT"/>
              </w:rPr>
              <w:t xml:space="preserve"> gali gauti</w:t>
            </w:r>
            <w:r w:rsidR="000F4489">
              <w:rPr>
                <w:i/>
                <w:lang w:val="lt-LT"/>
              </w:rPr>
              <w:t>:</w:t>
            </w:r>
            <w:r w:rsidRPr="00215D89">
              <w:rPr>
                <w:i/>
                <w:lang w:val="lt-LT"/>
              </w:rPr>
              <w:t xml:space="preserve"> suaugę asmenys su negalia ir jų šeimos; senyvo amžiaus asmenys ir jų šeimos; vaikai su negalia ir jų š</w:t>
            </w:r>
            <w:r w:rsidR="000F4489">
              <w:rPr>
                <w:i/>
                <w:lang w:val="lt-LT"/>
              </w:rPr>
              <w:t>eimos; kiti asmenys ir šeimos (</w:t>
            </w:r>
            <w:r w:rsidRPr="00215D89">
              <w:rPr>
                <w:i/>
                <w:lang w:val="lt-LT"/>
              </w:rPr>
              <w:t xml:space="preserve">laikinai dėl ligos ar kitų priežasčių savarankiškumo netekę asmenys). Asmeniui </w:t>
            </w:r>
            <w:r w:rsidRPr="00215D89">
              <w:rPr>
                <w:i/>
                <w:lang w:val="lt-LT"/>
              </w:rPr>
              <w:lastRenderedPageBreak/>
              <w:t>(šeimai)</w:t>
            </w:r>
            <w:r w:rsidR="000F4489">
              <w:rPr>
                <w:i/>
                <w:lang w:val="lt-LT"/>
              </w:rPr>
              <w:t>,</w:t>
            </w:r>
            <w:r w:rsidRPr="00215D89">
              <w:rPr>
                <w:i/>
                <w:lang w:val="lt-LT"/>
              </w:rPr>
              <w:t xml:space="preserve"> teisės aktų nustatyta tvarka gaunančiam (-</w:t>
            </w:r>
            <w:proofErr w:type="spellStart"/>
            <w:r w:rsidRPr="00215D89">
              <w:rPr>
                <w:i/>
                <w:lang w:val="lt-LT"/>
              </w:rPr>
              <w:t>iai</w:t>
            </w:r>
            <w:proofErr w:type="spellEnd"/>
            <w:r w:rsidRPr="00215D89">
              <w:rPr>
                <w:i/>
                <w:lang w:val="lt-LT"/>
              </w:rPr>
              <w:t>) socialinę pašalpą, arba jeigu pajamos yra mažesnės už 2 valstybės remiamų pajamų dydžius,</w:t>
            </w:r>
            <w:r w:rsidR="00215D89" w:rsidRPr="00215D89">
              <w:rPr>
                <w:i/>
                <w:lang w:val="lt-LT"/>
              </w:rPr>
              <w:t xml:space="preserve"> </w:t>
            </w:r>
            <w:r w:rsidR="00273346">
              <w:rPr>
                <w:i/>
                <w:lang w:val="lt-LT"/>
              </w:rPr>
              <w:t>pagalbos namuose paslaugos</w:t>
            </w:r>
            <w:r w:rsidRPr="00215D89">
              <w:rPr>
                <w:i/>
                <w:lang w:val="lt-LT"/>
              </w:rPr>
              <w:t xml:space="preserve"> teikiamos nemokamai. Visi kiti klientai už paslaugas moka pagal patvirtintą pagalbos į namus kainą</w:t>
            </w:r>
            <w:r w:rsidRPr="00EC247F">
              <w:rPr>
                <w:rStyle w:val="FootnoteReference"/>
                <w:lang w:val="lt-LT"/>
              </w:rPr>
              <w:footnoteReference w:id="53"/>
            </w:r>
            <w:r w:rsidRPr="00EC247F">
              <w:rPr>
                <w:lang w:val="lt-LT"/>
              </w:rPr>
              <w:t>.</w:t>
            </w:r>
          </w:p>
        </w:tc>
      </w:tr>
      <w:tr w:rsidR="00A974AE" w:rsidRPr="00EC247F" w14:paraId="013E7060" w14:textId="77777777" w:rsidTr="00AD1B26">
        <w:trPr>
          <w:jc w:val="center"/>
        </w:trPr>
        <w:tc>
          <w:tcPr>
            <w:tcW w:w="570" w:type="dxa"/>
          </w:tcPr>
          <w:p w14:paraId="27481B41" w14:textId="5561F911" w:rsidR="00A974AE" w:rsidRPr="00EC247F" w:rsidRDefault="00A974AE" w:rsidP="0004057F">
            <w:pPr>
              <w:rPr>
                <w:b/>
                <w:lang w:val="lt-LT"/>
              </w:rPr>
            </w:pPr>
          </w:p>
        </w:tc>
        <w:tc>
          <w:tcPr>
            <w:tcW w:w="15175" w:type="dxa"/>
            <w:gridSpan w:val="6"/>
          </w:tcPr>
          <w:p w14:paraId="144A4B7B" w14:textId="77777777" w:rsidR="00A974AE" w:rsidRPr="00EC247F" w:rsidRDefault="00A974AE" w:rsidP="008F32C9">
            <w:pPr>
              <w:jc w:val="center"/>
              <w:rPr>
                <w:b/>
                <w:lang w:val="lt-LT"/>
              </w:rPr>
            </w:pPr>
            <w:r w:rsidRPr="00EC247F">
              <w:rPr>
                <w:b/>
                <w:lang w:val="lt-LT"/>
              </w:rPr>
              <w:t>Ekonominė galia</w:t>
            </w:r>
          </w:p>
        </w:tc>
      </w:tr>
      <w:tr w:rsidR="00C21ADE" w:rsidRPr="00485D1C" w14:paraId="606D4254" w14:textId="77777777" w:rsidTr="00AD1B26">
        <w:trPr>
          <w:jc w:val="center"/>
        </w:trPr>
        <w:tc>
          <w:tcPr>
            <w:tcW w:w="570" w:type="dxa"/>
          </w:tcPr>
          <w:p w14:paraId="5369B950" w14:textId="694F60E0" w:rsidR="00C21ADE" w:rsidRPr="00EC247F" w:rsidRDefault="00C21ADE" w:rsidP="00741A16">
            <w:pPr>
              <w:rPr>
                <w:lang w:val="lt-LT"/>
              </w:rPr>
            </w:pPr>
            <w:r w:rsidRPr="00EC247F">
              <w:rPr>
                <w:lang w:val="lt-LT"/>
              </w:rPr>
              <w:t>2</w:t>
            </w:r>
            <w:r w:rsidR="00702435">
              <w:rPr>
                <w:lang w:val="lt-LT"/>
              </w:rPr>
              <w:t>5</w:t>
            </w:r>
            <w:r w:rsidRPr="00EC247F">
              <w:rPr>
                <w:lang w:val="lt-LT"/>
              </w:rPr>
              <w:t>.</w:t>
            </w:r>
          </w:p>
        </w:tc>
        <w:tc>
          <w:tcPr>
            <w:tcW w:w="3115" w:type="dxa"/>
          </w:tcPr>
          <w:p w14:paraId="19F712E0" w14:textId="77777777" w:rsidR="00C21ADE" w:rsidRPr="00EC247F" w:rsidRDefault="00C21ADE" w:rsidP="00695B8A">
            <w:pPr>
              <w:rPr>
                <w:lang w:val="lt-LT"/>
              </w:rPr>
            </w:pPr>
            <w:r w:rsidRPr="00EC247F">
              <w:rPr>
                <w:lang w:val="lt-LT"/>
              </w:rPr>
              <w:t>Vidutinis mėnesinis darbo užmokestis</w:t>
            </w:r>
          </w:p>
          <w:p w14:paraId="369BCE07" w14:textId="77777777" w:rsidR="008D2466" w:rsidRPr="00EC247F" w:rsidRDefault="008D2466" w:rsidP="00695B8A">
            <w:pPr>
              <w:rPr>
                <w:lang w:val="lt-LT"/>
              </w:rPr>
            </w:pPr>
          </w:p>
          <w:p w14:paraId="123BB44B" w14:textId="77777777" w:rsidR="008D2466" w:rsidRPr="00EC247F" w:rsidRDefault="008D2466" w:rsidP="00695B8A">
            <w:pPr>
              <w:rPr>
                <w:lang w:val="lt-LT"/>
              </w:rPr>
            </w:pPr>
          </w:p>
        </w:tc>
        <w:tc>
          <w:tcPr>
            <w:tcW w:w="2340" w:type="dxa"/>
          </w:tcPr>
          <w:p w14:paraId="17805B3E" w14:textId="77777777" w:rsidR="00C21ADE" w:rsidRPr="00EC247F" w:rsidRDefault="007C4EE6" w:rsidP="00695B8A">
            <w:pPr>
              <w:rPr>
                <w:lang w:val="lt-LT"/>
              </w:rPr>
            </w:pPr>
            <w:r w:rsidRPr="00EC247F">
              <w:rPr>
                <w:lang w:val="lt-LT"/>
              </w:rPr>
              <w:t>Lytis</w:t>
            </w:r>
          </w:p>
          <w:p w14:paraId="323923A1" w14:textId="77777777" w:rsidR="007C4EE6" w:rsidRPr="00B8043C" w:rsidRDefault="007C4EE6" w:rsidP="00695B8A">
            <w:pPr>
              <w:rPr>
                <w:lang w:val="lt-LT"/>
              </w:rPr>
            </w:pPr>
            <w:r w:rsidRPr="00EC247F">
              <w:rPr>
                <w:lang w:val="lt-LT"/>
              </w:rPr>
              <w:t>Savivaldybės</w:t>
            </w:r>
          </w:p>
          <w:p w14:paraId="5518A39D" w14:textId="77777777" w:rsidR="00713BAA" w:rsidRPr="00215D89" w:rsidRDefault="002F7DF8" w:rsidP="00695B8A">
            <w:pPr>
              <w:rPr>
                <w:lang w:val="lt-LT"/>
              </w:rPr>
            </w:pPr>
            <w:r w:rsidRPr="00215D89">
              <w:rPr>
                <w:lang w:val="lt-LT"/>
              </w:rPr>
              <w:t>Tipas</w:t>
            </w:r>
          </w:p>
          <w:p w14:paraId="2D49ACDB" w14:textId="77777777" w:rsidR="00713BAA" w:rsidRPr="00215D89" w:rsidRDefault="002F7DF8" w:rsidP="00695B8A">
            <w:pPr>
              <w:rPr>
                <w:lang w:val="lt-LT"/>
              </w:rPr>
            </w:pPr>
            <w:r w:rsidRPr="00215D89">
              <w:rPr>
                <w:lang w:val="lt-LT"/>
              </w:rPr>
              <w:t>(b</w:t>
            </w:r>
            <w:r w:rsidR="00713BAA" w:rsidRPr="00215D89">
              <w:rPr>
                <w:lang w:val="lt-LT"/>
              </w:rPr>
              <w:t>ruto</w:t>
            </w:r>
            <w:r w:rsidRPr="00215D89">
              <w:rPr>
                <w:lang w:val="lt-LT"/>
              </w:rPr>
              <w:t>; n</w:t>
            </w:r>
            <w:r w:rsidR="00713BAA" w:rsidRPr="00215D89">
              <w:rPr>
                <w:lang w:val="lt-LT"/>
              </w:rPr>
              <w:t>eto</w:t>
            </w:r>
            <w:r w:rsidRPr="00215D89">
              <w:rPr>
                <w:lang w:val="lt-LT"/>
              </w:rPr>
              <w:t>)</w:t>
            </w:r>
          </w:p>
          <w:p w14:paraId="7E7919D5" w14:textId="77777777" w:rsidR="002F7DF8" w:rsidRPr="00215D89" w:rsidRDefault="002F7DF8" w:rsidP="002F7DF8">
            <w:pPr>
              <w:rPr>
                <w:lang w:val="lt-LT"/>
              </w:rPr>
            </w:pPr>
            <w:r w:rsidRPr="00215D89">
              <w:rPr>
                <w:lang w:val="lt-LT"/>
              </w:rPr>
              <w:t>Sektorius</w:t>
            </w:r>
          </w:p>
          <w:p w14:paraId="06E0FD23" w14:textId="6929E6A9" w:rsidR="002F7DF8" w:rsidRPr="00215D89" w:rsidRDefault="008B64A0" w:rsidP="002F7DF8">
            <w:pPr>
              <w:rPr>
                <w:lang w:val="lt-LT"/>
              </w:rPr>
            </w:pPr>
            <w:r>
              <w:rPr>
                <w:lang w:val="lt-LT"/>
              </w:rPr>
              <w:t xml:space="preserve">(valstybinis; </w:t>
            </w:r>
            <w:r w:rsidR="002F7DF8" w:rsidRPr="00215D89">
              <w:rPr>
                <w:lang w:val="lt-LT"/>
              </w:rPr>
              <w:t>privatus)</w:t>
            </w:r>
          </w:p>
          <w:p w14:paraId="005BEBD4" w14:textId="77777777" w:rsidR="007C4EE6" w:rsidRPr="00EC247F" w:rsidRDefault="007C4EE6" w:rsidP="00695B8A">
            <w:pPr>
              <w:rPr>
                <w:lang w:val="lt-LT"/>
              </w:rPr>
            </w:pPr>
          </w:p>
        </w:tc>
        <w:tc>
          <w:tcPr>
            <w:tcW w:w="1727" w:type="dxa"/>
          </w:tcPr>
          <w:p w14:paraId="6172DBC3" w14:textId="14A0DFD0" w:rsidR="00C21ADE" w:rsidRPr="00EC247F" w:rsidRDefault="00A16093" w:rsidP="00695B8A">
            <w:pPr>
              <w:rPr>
                <w:lang w:val="lt-LT"/>
              </w:rPr>
            </w:pPr>
            <w:r>
              <w:rPr>
                <w:lang w:val="lt-LT"/>
              </w:rPr>
              <w:t>Dalinai skelbiama (nėra pjūvio pagal savivaldybes ir lytį)</w:t>
            </w:r>
          </w:p>
        </w:tc>
        <w:tc>
          <w:tcPr>
            <w:tcW w:w="1243" w:type="dxa"/>
            <w:gridSpan w:val="2"/>
          </w:tcPr>
          <w:p w14:paraId="0E65A714" w14:textId="77777777" w:rsidR="00C21ADE" w:rsidRPr="00EC247F" w:rsidRDefault="00C21ADE" w:rsidP="00695B8A">
            <w:pPr>
              <w:rPr>
                <w:lang w:val="lt-LT"/>
              </w:rPr>
            </w:pPr>
            <w:r w:rsidRPr="00EC247F">
              <w:rPr>
                <w:lang w:val="lt-LT"/>
              </w:rPr>
              <w:t>LSD</w:t>
            </w:r>
          </w:p>
        </w:tc>
        <w:tc>
          <w:tcPr>
            <w:tcW w:w="6750" w:type="dxa"/>
          </w:tcPr>
          <w:p w14:paraId="6CC766F5" w14:textId="2D8DA629" w:rsidR="00C50CF3" w:rsidRPr="00EC247F" w:rsidRDefault="001101DC" w:rsidP="00E7155C">
            <w:pPr>
              <w:rPr>
                <w:lang w:val="lt-LT"/>
              </w:rPr>
            </w:pPr>
            <w:r w:rsidRPr="00EC247F">
              <w:rPr>
                <w:lang w:val="lt-LT"/>
              </w:rPr>
              <w:t>Žmonių galimybės generuoti asmenines pajamas ir apmokamu darbu įgytus finansinius</w:t>
            </w:r>
            <w:r w:rsidR="00E95B2A" w:rsidRPr="00EC247F">
              <w:rPr>
                <w:lang w:val="lt-LT"/>
              </w:rPr>
              <w:t xml:space="preserve"> išteklius užtikrina jų ekonominę autonomiją. Tai – vienas pamatinių veiksnių, darančių poveikį ne tik materialinei, bet ir emocinei žmonių gerovei. </w:t>
            </w:r>
            <w:r w:rsidR="00B90296" w:rsidRPr="00EC247F">
              <w:rPr>
                <w:lang w:val="lt-LT"/>
              </w:rPr>
              <w:t xml:space="preserve">Vidutinio mėnesinio darbo užmokesčio rodiklis atskleidžia, kas – </w:t>
            </w:r>
            <w:r w:rsidR="000F5079">
              <w:rPr>
                <w:lang w:val="lt-LT"/>
              </w:rPr>
              <w:t>moterys</w:t>
            </w:r>
            <w:r w:rsidR="00B90296" w:rsidRPr="00EC247F">
              <w:rPr>
                <w:lang w:val="lt-LT"/>
              </w:rPr>
              <w:t xml:space="preserve"> ar </w:t>
            </w:r>
            <w:r w:rsidR="000F5079">
              <w:rPr>
                <w:lang w:val="lt-LT"/>
              </w:rPr>
              <w:t>vyrai</w:t>
            </w:r>
            <w:r w:rsidR="00B90296" w:rsidRPr="00EC247F">
              <w:rPr>
                <w:lang w:val="lt-LT"/>
              </w:rPr>
              <w:t xml:space="preserve"> – savivaldybėse gauna didesnius</w:t>
            </w:r>
            <w:r w:rsidR="00083FB3" w:rsidRPr="00EC247F">
              <w:rPr>
                <w:lang w:val="lt-LT"/>
              </w:rPr>
              <w:t xml:space="preserve"> atlyginimus. Tai parodo, kokį</w:t>
            </w:r>
            <w:r w:rsidR="00083FB3" w:rsidRPr="00EC247F">
              <w:rPr>
                <w:rStyle w:val="CommentReference"/>
                <w:lang w:val="lt-LT"/>
              </w:rPr>
              <w:t xml:space="preserve"> </w:t>
            </w:r>
            <w:r w:rsidR="00083FB3" w:rsidRPr="00EC247F">
              <w:rPr>
                <w:rStyle w:val="CommentReference"/>
                <w:sz w:val="24"/>
                <w:szCs w:val="24"/>
                <w:lang w:val="lt-LT"/>
              </w:rPr>
              <w:t>p</w:t>
            </w:r>
            <w:r w:rsidR="00083FB3" w:rsidRPr="00EC247F">
              <w:rPr>
                <w:lang w:val="lt-LT"/>
              </w:rPr>
              <w:t xml:space="preserve">oveikį </w:t>
            </w:r>
            <w:r w:rsidR="00B90296" w:rsidRPr="00EC247F">
              <w:rPr>
                <w:lang w:val="lt-LT"/>
              </w:rPr>
              <w:t>lytis daro ekonominės autonomijos įgijimui.</w:t>
            </w:r>
          </w:p>
          <w:p w14:paraId="38C5A3CA" w14:textId="77777777" w:rsidR="00807541" w:rsidRPr="00EC247F" w:rsidRDefault="00807541" w:rsidP="00E7155C">
            <w:pPr>
              <w:rPr>
                <w:lang w:val="lt-LT"/>
              </w:rPr>
            </w:pPr>
          </w:p>
          <w:p w14:paraId="11294DAF" w14:textId="0B1A76D8" w:rsidR="00C50CF3" w:rsidRPr="00EC247F" w:rsidRDefault="00C50CF3" w:rsidP="00E7155C">
            <w:pPr>
              <w:rPr>
                <w:lang w:val="lt-LT"/>
              </w:rPr>
            </w:pPr>
            <w:r w:rsidRPr="00EC247F">
              <w:rPr>
                <w:lang w:val="lt-LT"/>
              </w:rPr>
              <w:t xml:space="preserve">Interpretuojant rodiklio reikšmes svarbu </w:t>
            </w:r>
            <w:r w:rsidRPr="004D4A44">
              <w:rPr>
                <w:u w:val="single"/>
                <w:lang w:val="lt-LT"/>
              </w:rPr>
              <w:t>atkreipti dėmesį į esminį jo ribotumą</w:t>
            </w:r>
            <w:r w:rsidRPr="00EC247F">
              <w:rPr>
                <w:lang w:val="lt-LT"/>
              </w:rPr>
              <w:t xml:space="preserve"> – darbuotojų darbo užmokestis skaičiuojamas pagal įmonės registracijos vietą, t. y. koks tos savivaldybės įmonėse dirbančių darbo užmokestis. Pagal faktišką darbuotojo gyvenamąją vietą nėra galimybės įvertinti, </w:t>
            </w:r>
            <w:r w:rsidR="007D66CD" w:rsidRPr="00EC247F">
              <w:rPr>
                <w:lang w:val="lt-LT"/>
              </w:rPr>
              <w:t xml:space="preserve">viena priežasčių – </w:t>
            </w:r>
            <w:r w:rsidRPr="00EC247F">
              <w:rPr>
                <w:lang w:val="lt-LT"/>
              </w:rPr>
              <w:t>daug darbuotojų, deklaravusių gyvenamąją vietą vienoje savivaldybėje</w:t>
            </w:r>
            <w:r w:rsidR="00C07A3D" w:rsidRPr="00EC247F">
              <w:rPr>
                <w:lang w:val="lt-LT"/>
              </w:rPr>
              <w:t>,</w:t>
            </w:r>
            <w:r w:rsidRPr="00EC247F">
              <w:rPr>
                <w:lang w:val="lt-LT"/>
              </w:rPr>
              <w:t xml:space="preserve"> iš tikrųjų dirba ir gyvena kitoje savivaldybėje.</w:t>
            </w:r>
          </w:p>
          <w:p w14:paraId="7895E91E" w14:textId="77777777" w:rsidR="00C50CF3" w:rsidRPr="00EC247F" w:rsidRDefault="00C50CF3" w:rsidP="00E7155C">
            <w:pPr>
              <w:rPr>
                <w:lang w:val="lt-LT"/>
              </w:rPr>
            </w:pPr>
          </w:p>
          <w:p w14:paraId="2A1D2D18" w14:textId="25C8AA54" w:rsidR="00712852" w:rsidRPr="00593578" w:rsidRDefault="00712852" w:rsidP="00712852">
            <w:pPr>
              <w:rPr>
                <w:i/>
                <w:lang w:val="lt-LT"/>
              </w:rPr>
            </w:pPr>
            <w:r w:rsidRPr="00593578">
              <w:rPr>
                <w:b/>
                <w:bCs/>
                <w:i/>
                <w:lang w:val="lt-LT"/>
              </w:rPr>
              <w:t>Bruto darbo užmokestis</w:t>
            </w:r>
            <w:r w:rsidR="00B76DA5">
              <w:rPr>
                <w:i/>
                <w:lang w:val="lt-LT"/>
              </w:rPr>
              <w:t xml:space="preserve"> </w:t>
            </w:r>
            <w:r w:rsidRPr="00593578">
              <w:rPr>
                <w:i/>
                <w:lang w:val="lt-LT"/>
              </w:rPr>
              <w:t>– atlyginimas pinigais, apimantis</w:t>
            </w:r>
            <w:r w:rsidR="008A604C" w:rsidRPr="00593578">
              <w:rPr>
                <w:i/>
                <w:lang w:val="lt-LT"/>
              </w:rPr>
              <w:t xml:space="preserve"> </w:t>
            </w:r>
            <w:r w:rsidRPr="00593578">
              <w:rPr>
                <w:i/>
                <w:lang w:val="lt-LT"/>
              </w:rPr>
              <w:t>tiesiogiai darbdavio darbuotojui mokamą pagrindinį darbo užmokestį ir papildomą uždarbį, įskaitant darbuotojo mokamas valstybinio socialinio draudimo įmokas ir gyventojų pajamų mokestį. Neįskaitoma materialinė, laikinojo nedarbingumo pašalpa, mokama neatsižvelgiant į finansavimo šaltinį, kompensacija už nepanaudotas kasmetines atostogas, išeitinė išmoka ir pan.</w:t>
            </w:r>
          </w:p>
          <w:p w14:paraId="3C57BBAC" w14:textId="77777777" w:rsidR="008A604C" w:rsidRPr="00593578" w:rsidRDefault="008A604C" w:rsidP="00712852">
            <w:pPr>
              <w:rPr>
                <w:i/>
                <w:lang w:val="lt-LT"/>
              </w:rPr>
            </w:pPr>
          </w:p>
          <w:p w14:paraId="0CC79A0B" w14:textId="5F2A48B0" w:rsidR="00712852" w:rsidRPr="00EC247F" w:rsidRDefault="00712852" w:rsidP="008A604C">
            <w:pPr>
              <w:rPr>
                <w:lang w:val="lt-LT"/>
              </w:rPr>
            </w:pPr>
            <w:r w:rsidRPr="00593578">
              <w:rPr>
                <w:b/>
                <w:bCs/>
                <w:i/>
                <w:lang w:val="lt-LT"/>
              </w:rPr>
              <w:t>Neto darbo užmokestis</w:t>
            </w:r>
            <w:r w:rsidR="00B76DA5">
              <w:rPr>
                <w:i/>
                <w:lang w:val="lt-LT"/>
              </w:rPr>
              <w:t xml:space="preserve"> </w:t>
            </w:r>
            <w:r w:rsidRPr="00593578">
              <w:rPr>
                <w:i/>
                <w:lang w:val="lt-LT"/>
              </w:rPr>
              <w:t xml:space="preserve">– atlyginimas pinigais, apimantis tiesiogiai darbdavio darbuotojui mokamą pagrindinį darbo užmokestį ir </w:t>
            </w:r>
            <w:r w:rsidRPr="00593578">
              <w:rPr>
                <w:i/>
                <w:lang w:val="lt-LT"/>
              </w:rPr>
              <w:lastRenderedPageBreak/>
              <w:t>papildomą uždarbį, atskaičius darbuotojo mokamas valstybinio socialinio draudimo įmokas ir gyventojų pajamų mokestį</w:t>
            </w:r>
            <w:r w:rsidRPr="00EC247F">
              <w:rPr>
                <w:rStyle w:val="FootnoteReference"/>
                <w:lang w:val="lt-LT"/>
              </w:rPr>
              <w:footnoteReference w:id="54"/>
            </w:r>
            <w:r w:rsidRPr="00EC247F">
              <w:rPr>
                <w:lang w:val="lt-LT"/>
              </w:rPr>
              <w:t>.</w:t>
            </w:r>
          </w:p>
        </w:tc>
      </w:tr>
      <w:tr w:rsidR="00C21ADE" w:rsidRPr="00485D1C" w14:paraId="01907A5A" w14:textId="77777777" w:rsidTr="00AD1B26">
        <w:trPr>
          <w:jc w:val="center"/>
        </w:trPr>
        <w:tc>
          <w:tcPr>
            <w:tcW w:w="570" w:type="dxa"/>
          </w:tcPr>
          <w:p w14:paraId="5A968268" w14:textId="493FA08E" w:rsidR="00C21ADE" w:rsidRPr="00EC247F" w:rsidRDefault="00C21ADE" w:rsidP="00741A16">
            <w:pPr>
              <w:rPr>
                <w:lang w:val="lt-LT"/>
              </w:rPr>
            </w:pPr>
            <w:r w:rsidRPr="00EC247F">
              <w:rPr>
                <w:lang w:val="lt-LT"/>
              </w:rPr>
              <w:lastRenderedPageBreak/>
              <w:t>2</w:t>
            </w:r>
            <w:r w:rsidR="00702435">
              <w:rPr>
                <w:lang w:val="lt-LT"/>
              </w:rPr>
              <w:t>6</w:t>
            </w:r>
            <w:r w:rsidRPr="00EC247F">
              <w:rPr>
                <w:lang w:val="lt-LT"/>
              </w:rPr>
              <w:t>.</w:t>
            </w:r>
          </w:p>
        </w:tc>
        <w:tc>
          <w:tcPr>
            <w:tcW w:w="3115" w:type="dxa"/>
          </w:tcPr>
          <w:p w14:paraId="5B15AD37" w14:textId="77777777" w:rsidR="00C21ADE" w:rsidRPr="00EC247F" w:rsidRDefault="00C21ADE" w:rsidP="002E19D0">
            <w:pPr>
              <w:rPr>
                <w:lang w:val="lt-LT"/>
              </w:rPr>
            </w:pPr>
            <w:r w:rsidRPr="00EC247F">
              <w:rPr>
                <w:lang w:val="lt-LT"/>
              </w:rPr>
              <w:t xml:space="preserve">Moterų ir vyrų darbo užmokesčio atotrūkis </w:t>
            </w:r>
          </w:p>
        </w:tc>
        <w:tc>
          <w:tcPr>
            <w:tcW w:w="2340" w:type="dxa"/>
          </w:tcPr>
          <w:p w14:paraId="2DE5F878" w14:textId="07A58756" w:rsidR="00C21ADE" w:rsidRPr="00EC247F" w:rsidRDefault="00083FB3" w:rsidP="00695B8A">
            <w:pPr>
              <w:rPr>
                <w:lang w:val="lt-LT"/>
              </w:rPr>
            </w:pPr>
            <w:r w:rsidRPr="00EC247F">
              <w:rPr>
                <w:lang w:val="lt-LT"/>
              </w:rPr>
              <w:t>Savivaldybės</w:t>
            </w:r>
          </w:p>
          <w:p w14:paraId="6A79CD70" w14:textId="77777777" w:rsidR="00B5463B" w:rsidRPr="00EC247F" w:rsidRDefault="00B5463B" w:rsidP="00B5463B">
            <w:pPr>
              <w:rPr>
                <w:lang w:val="lt-LT"/>
              </w:rPr>
            </w:pPr>
            <w:r w:rsidRPr="00EC247F">
              <w:rPr>
                <w:lang w:val="lt-LT"/>
              </w:rPr>
              <w:t>Sektorius</w:t>
            </w:r>
          </w:p>
          <w:p w14:paraId="5DCB2437" w14:textId="2498C41D" w:rsidR="00B5463B" w:rsidRPr="00EC247F" w:rsidRDefault="002F7DF8" w:rsidP="00B5463B">
            <w:pPr>
              <w:rPr>
                <w:lang w:val="lt-LT"/>
              </w:rPr>
            </w:pPr>
            <w:r w:rsidRPr="00EC247F">
              <w:rPr>
                <w:lang w:val="lt-LT"/>
              </w:rPr>
              <w:t>(v</w:t>
            </w:r>
            <w:r w:rsidR="00B5463B" w:rsidRPr="00EC247F">
              <w:rPr>
                <w:lang w:val="lt-LT"/>
              </w:rPr>
              <w:t>alstybinis</w:t>
            </w:r>
            <w:r w:rsidRPr="00EC247F">
              <w:rPr>
                <w:lang w:val="lt-LT"/>
              </w:rPr>
              <w:t>; p</w:t>
            </w:r>
            <w:r w:rsidR="00B5463B" w:rsidRPr="00EC247F">
              <w:rPr>
                <w:lang w:val="lt-LT"/>
              </w:rPr>
              <w:t>rivatus</w:t>
            </w:r>
            <w:r w:rsidRPr="00EC247F">
              <w:rPr>
                <w:lang w:val="lt-LT"/>
              </w:rPr>
              <w:t>)</w:t>
            </w:r>
          </w:p>
          <w:p w14:paraId="55394CB6" w14:textId="77777777" w:rsidR="001344FB" w:rsidRPr="00EC247F" w:rsidRDefault="002F7DF8" w:rsidP="00695B8A">
            <w:pPr>
              <w:rPr>
                <w:lang w:val="lt-LT"/>
              </w:rPr>
            </w:pPr>
            <w:r w:rsidRPr="00EC247F">
              <w:rPr>
                <w:lang w:val="lt-LT"/>
              </w:rPr>
              <w:t>Skirtumas</w:t>
            </w:r>
          </w:p>
          <w:p w14:paraId="1240D031" w14:textId="40B5A738" w:rsidR="001344FB" w:rsidRPr="00EC247F" w:rsidRDefault="0058353C" w:rsidP="0058353C">
            <w:pPr>
              <w:rPr>
                <w:lang w:val="lt-LT"/>
              </w:rPr>
            </w:pPr>
            <w:r w:rsidRPr="00EC247F">
              <w:rPr>
                <w:lang w:val="lt-LT"/>
              </w:rPr>
              <w:t>(s</w:t>
            </w:r>
            <w:r w:rsidR="001344FB" w:rsidRPr="00EC247F">
              <w:rPr>
                <w:lang w:val="lt-LT"/>
              </w:rPr>
              <w:t>antykinis</w:t>
            </w:r>
            <w:r w:rsidR="005E3D8F">
              <w:rPr>
                <w:lang w:val="lt-LT"/>
              </w:rPr>
              <w:t xml:space="preserve"> (proc.)</w:t>
            </w:r>
            <w:r w:rsidRPr="00EC247F">
              <w:rPr>
                <w:lang w:val="lt-LT"/>
              </w:rPr>
              <w:t>; a</w:t>
            </w:r>
            <w:r w:rsidR="001344FB" w:rsidRPr="00EC247F">
              <w:rPr>
                <w:lang w:val="lt-LT"/>
              </w:rPr>
              <w:t>bsoliutusis</w:t>
            </w:r>
            <w:r w:rsidRPr="00EC247F">
              <w:rPr>
                <w:lang w:val="lt-LT"/>
              </w:rPr>
              <w:t>)</w:t>
            </w:r>
          </w:p>
        </w:tc>
        <w:tc>
          <w:tcPr>
            <w:tcW w:w="1727" w:type="dxa"/>
          </w:tcPr>
          <w:p w14:paraId="5B7F94C2" w14:textId="549E4536" w:rsidR="00C21ADE" w:rsidRPr="00EC247F" w:rsidRDefault="00A16093" w:rsidP="00695B8A">
            <w:pPr>
              <w:rPr>
                <w:lang w:val="lt-LT"/>
              </w:rPr>
            </w:pPr>
            <w:r w:rsidRPr="00A16093">
              <w:rPr>
                <w:lang w:val="lt-LT"/>
              </w:rPr>
              <w:t>Dalinai skelbiama</w:t>
            </w:r>
            <w:r>
              <w:rPr>
                <w:lang w:val="lt-LT"/>
              </w:rPr>
              <w:t xml:space="preserve"> (trūksta savivaldybių dimensijos)</w:t>
            </w:r>
          </w:p>
        </w:tc>
        <w:tc>
          <w:tcPr>
            <w:tcW w:w="1243" w:type="dxa"/>
            <w:gridSpan w:val="2"/>
          </w:tcPr>
          <w:p w14:paraId="487AAFB7" w14:textId="77777777" w:rsidR="00C21ADE" w:rsidRPr="00EC247F" w:rsidRDefault="00C21ADE" w:rsidP="00695B8A">
            <w:pPr>
              <w:rPr>
                <w:lang w:val="lt-LT"/>
              </w:rPr>
            </w:pPr>
            <w:r w:rsidRPr="00EC247F">
              <w:rPr>
                <w:lang w:val="lt-LT"/>
              </w:rPr>
              <w:t>LSD</w:t>
            </w:r>
          </w:p>
        </w:tc>
        <w:tc>
          <w:tcPr>
            <w:tcW w:w="6750" w:type="dxa"/>
          </w:tcPr>
          <w:p w14:paraId="485B26E6" w14:textId="6C96B0AE" w:rsidR="001344FB" w:rsidRPr="00EC247F" w:rsidRDefault="00E95B2A" w:rsidP="00EA39FE">
            <w:pPr>
              <w:rPr>
                <w:lang w:val="lt-LT"/>
              </w:rPr>
            </w:pPr>
            <w:r w:rsidRPr="00EC247F">
              <w:rPr>
                <w:lang w:val="lt-LT"/>
              </w:rPr>
              <w:t xml:space="preserve">Žmonių galimybės generuoti asmenines pajamas ir apmokamu darbu įgytus finansinius išteklius užtikrina jų ekonominę autonomiją. Tai – vienas pamatinių veiksnių, darančių poveikį ne tik materialinei, bet ir emocinei žmonių gerovei. </w:t>
            </w:r>
            <w:r w:rsidR="001344FB" w:rsidRPr="00EC247F">
              <w:rPr>
                <w:lang w:val="lt-LT"/>
              </w:rPr>
              <w:t xml:space="preserve">Moterų ir vyrų darbo užmokesčio atotrūkis – </w:t>
            </w:r>
            <w:r w:rsidR="0072410D">
              <w:rPr>
                <w:lang w:val="lt-LT"/>
              </w:rPr>
              <w:t>santykinis arba absoliutusis moterų ir vy</w:t>
            </w:r>
            <w:r w:rsidR="001344FB" w:rsidRPr="00EC247F">
              <w:rPr>
                <w:lang w:val="lt-LT"/>
              </w:rPr>
              <w:t>rų darbo užmokesčio skirtumas. Pateikiama skirtumo tarp vyrų ir moterų vidutinio valandinio bruto darbo užmokesčio, palyginti su vyrų vidutiniu valandiniu bruto darbo užmokesčiu, procentinė dalis</w:t>
            </w:r>
            <w:r w:rsidR="001344FB" w:rsidRPr="00EC247F">
              <w:rPr>
                <w:rStyle w:val="FootnoteReference"/>
                <w:lang w:val="lt-LT"/>
              </w:rPr>
              <w:footnoteReference w:id="55"/>
            </w:r>
            <w:r w:rsidR="001344FB" w:rsidRPr="00EC247F">
              <w:rPr>
                <w:lang w:val="lt-LT"/>
              </w:rPr>
              <w:t>.</w:t>
            </w:r>
            <w:r w:rsidR="00EA39FE" w:rsidRPr="00EC247F">
              <w:rPr>
                <w:lang w:val="lt-LT"/>
              </w:rPr>
              <w:t xml:space="preserve"> </w:t>
            </w:r>
            <w:r w:rsidR="00B5463B" w:rsidRPr="00EC247F">
              <w:rPr>
                <w:lang w:val="lt-LT"/>
              </w:rPr>
              <w:t>Įvertinus rodiklio reikšmes pagal sektori</w:t>
            </w:r>
            <w:r w:rsidR="00586247" w:rsidRPr="00EC247F">
              <w:rPr>
                <w:lang w:val="lt-LT"/>
              </w:rPr>
              <w:t>ų</w:t>
            </w:r>
            <w:r w:rsidR="00B5463B" w:rsidRPr="00EC247F">
              <w:rPr>
                <w:lang w:val="lt-LT"/>
              </w:rPr>
              <w:t xml:space="preserve">, galima užčiuopti, kuriame </w:t>
            </w:r>
            <w:r w:rsidR="00586247" w:rsidRPr="00EC247F">
              <w:rPr>
                <w:lang w:val="lt-LT"/>
              </w:rPr>
              <w:t xml:space="preserve">– valstybiniame ar privačiame </w:t>
            </w:r>
            <w:r w:rsidR="00B5463B" w:rsidRPr="00EC247F">
              <w:rPr>
                <w:lang w:val="lt-LT"/>
              </w:rPr>
              <w:t>se</w:t>
            </w:r>
            <w:r w:rsidR="00586247" w:rsidRPr="00EC247F">
              <w:rPr>
                <w:lang w:val="lt-LT"/>
              </w:rPr>
              <w:t>ktoriuje – d</w:t>
            </w:r>
            <w:r w:rsidR="00B5463B" w:rsidRPr="00EC247F">
              <w:rPr>
                <w:lang w:val="lt-LT"/>
              </w:rPr>
              <w:t>idžiausi</w:t>
            </w:r>
            <w:r w:rsidR="00DE2EA4" w:rsidRPr="00EC247F">
              <w:rPr>
                <w:lang w:val="lt-LT"/>
              </w:rPr>
              <w:t>a</w:t>
            </w:r>
            <w:r w:rsidR="00B5463B" w:rsidRPr="00EC247F">
              <w:rPr>
                <w:lang w:val="lt-LT"/>
              </w:rPr>
              <w:t xml:space="preserve"> </w:t>
            </w:r>
            <w:r w:rsidR="008D1FE0">
              <w:rPr>
                <w:lang w:val="lt-LT"/>
              </w:rPr>
              <w:t>moterų</w:t>
            </w:r>
            <w:r w:rsidR="00B5463B" w:rsidRPr="00EC247F">
              <w:rPr>
                <w:lang w:val="lt-LT"/>
              </w:rPr>
              <w:t xml:space="preserve"> ir </w:t>
            </w:r>
            <w:r w:rsidR="008D1FE0">
              <w:rPr>
                <w:lang w:val="lt-LT"/>
              </w:rPr>
              <w:t>vyrų</w:t>
            </w:r>
            <w:r w:rsidR="00B5463B" w:rsidRPr="00EC247F">
              <w:rPr>
                <w:lang w:val="lt-LT"/>
              </w:rPr>
              <w:t xml:space="preserve"> ekonominė nelygybė.</w:t>
            </w:r>
          </w:p>
          <w:p w14:paraId="4E742DB8" w14:textId="77777777" w:rsidR="00C708DD" w:rsidRPr="00EC247F" w:rsidRDefault="00C708DD" w:rsidP="00EA39FE">
            <w:pPr>
              <w:rPr>
                <w:lang w:val="lt-LT"/>
              </w:rPr>
            </w:pPr>
          </w:p>
          <w:p w14:paraId="25B3E622" w14:textId="3ECF52DE" w:rsidR="00C708DD" w:rsidRPr="00EC247F" w:rsidRDefault="00C708DD" w:rsidP="00C708DD">
            <w:pPr>
              <w:rPr>
                <w:lang w:val="lt-LT"/>
              </w:rPr>
            </w:pPr>
            <w:r w:rsidRPr="00593578">
              <w:rPr>
                <w:b/>
                <w:bCs/>
                <w:i/>
                <w:lang w:val="lt-LT"/>
              </w:rPr>
              <w:t>Bruto darbo užmokesti</w:t>
            </w:r>
            <w:r w:rsidR="00206178">
              <w:rPr>
                <w:b/>
                <w:bCs/>
                <w:i/>
                <w:lang w:val="lt-LT"/>
              </w:rPr>
              <w:t>s</w:t>
            </w:r>
            <w:r w:rsidR="00206178">
              <w:rPr>
                <w:bCs/>
                <w:i/>
                <w:lang w:val="lt-LT"/>
              </w:rPr>
              <w:t xml:space="preserve"> </w:t>
            </w:r>
            <w:r w:rsidRPr="00593578">
              <w:rPr>
                <w:i/>
                <w:lang w:val="lt-LT"/>
              </w:rPr>
              <w:t>– atlyginimas pinigais, apimantis tiesiogiai darbdavio darbuotojui mokamą pagrindinį darbo užmokestį ir papildomą uždarbį, įskaitant darbuotojo mokamas valstybinio socialinio draudimo įmokas ir gyventojų pajamų mokestį. Neįskaitoma materialinė, laikinojo nedarbingumo pašalpa, mokama neatsižvelgiant į finansavimo šaltinį, kompensacija už nepanaudotas kasmetines atostogas, išeitinė išmoka ir pan</w:t>
            </w:r>
            <w:r w:rsidR="00206178">
              <w:rPr>
                <w:i/>
                <w:lang w:val="lt-LT"/>
              </w:rPr>
              <w:t>.</w:t>
            </w:r>
            <w:r w:rsidRPr="00EC247F">
              <w:rPr>
                <w:rStyle w:val="FootnoteReference"/>
                <w:lang w:val="lt-LT"/>
              </w:rPr>
              <w:footnoteReference w:id="56"/>
            </w:r>
          </w:p>
        </w:tc>
      </w:tr>
      <w:tr w:rsidR="00D67815" w:rsidRPr="00485D1C" w14:paraId="4FD06977" w14:textId="77777777" w:rsidTr="00AD1B26">
        <w:trPr>
          <w:jc w:val="center"/>
        </w:trPr>
        <w:tc>
          <w:tcPr>
            <w:tcW w:w="570" w:type="dxa"/>
          </w:tcPr>
          <w:p w14:paraId="1EB27390" w14:textId="6518D1C6" w:rsidR="00D67815" w:rsidRPr="00EC247F" w:rsidRDefault="00D67815" w:rsidP="00702435">
            <w:pPr>
              <w:rPr>
                <w:lang w:val="lt-LT"/>
              </w:rPr>
            </w:pPr>
            <w:r w:rsidRPr="00EC247F">
              <w:rPr>
                <w:lang w:val="lt-LT"/>
              </w:rPr>
              <w:t>2</w:t>
            </w:r>
            <w:r w:rsidR="00702435">
              <w:rPr>
                <w:lang w:val="lt-LT"/>
              </w:rPr>
              <w:t>7</w:t>
            </w:r>
            <w:r w:rsidRPr="00EC247F">
              <w:rPr>
                <w:lang w:val="lt-LT"/>
              </w:rPr>
              <w:t>.</w:t>
            </w:r>
          </w:p>
        </w:tc>
        <w:tc>
          <w:tcPr>
            <w:tcW w:w="3115" w:type="dxa"/>
          </w:tcPr>
          <w:p w14:paraId="3F081CE0" w14:textId="1CCADFE7" w:rsidR="00D67815" w:rsidRPr="00EC247F" w:rsidRDefault="00EA39FE" w:rsidP="002E19D0">
            <w:pPr>
              <w:rPr>
                <w:lang w:val="lt-LT"/>
              </w:rPr>
            </w:pPr>
            <w:r w:rsidRPr="00EC247F">
              <w:rPr>
                <w:lang w:val="lt-LT"/>
              </w:rPr>
              <w:t>Valstybinio socialinio draudimo vidutinės senatvės pensijos atotrūkis</w:t>
            </w:r>
          </w:p>
        </w:tc>
        <w:tc>
          <w:tcPr>
            <w:tcW w:w="2340" w:type="dxa"/>
          </w:tcPr>
          <w:p w14:paraId="3548A03E" w14:textId="77777777" w:rsidR="00D67815" w:rsidRPr="00EC247F" w:rsidRDefault="00D67815" w:rsidP="002E19D0">
            <w:pPr>
              <w:rPr>
                <w:lang w:val="lt-LT"/>
              </w:rPr>
            </w:pPr>
            <w:r w:rsidRPr="00EC247F">
              <w:rPr>
                <w:lang w:val="lt-LT"/>
              </w:rPr>
              <w:t xml:space="preserve">Savivaldybės </w:t>
            </w:r>
          </w:p>
          <w:p w14:paraId="3E384B08" w14:textId="77777777" w:rsidR="00D67815" w:rsidRPr="00EC247F" w:rsidRDefault="00D67815" w:rsidP="002E19D0">
            <w:pPr>
              <w:rPr>
                <w:lang w:val="lt-LT"/>
              </w:rPr>
            </w:pPr>
            <w:r w:rsidRPr="00EC247F">
              <w:rPr>
                <w:lang w:val="lt-LT"/>
              </w:rPr>
              <w:t>Lytis</w:t>
            </w:r>
          </w:p>
        </w:tc>
        <w:tc>
          <w:tcPr>
            <w:tcW w:w="1727" w:type="dxa"/>
          </w:tcPr>
          <w:p w14:paraId="74045FEA" w14:textId="77777777" w:rsidR="00D67815" w:rsidRDefault="00D67815" w:rsidP="00695B8A">
            <w:pPr>
              <w:rPr>
                <w:lang w:val="lt-LT"/>
              </w:rPr>
            </w:pPr>
            <w:r w:rsidRPr="00EC247F">
              <w:rPr>
                <w:lang w:val="lt-LT"/>
              </w:rPr>
              <w:t>Nuo 2010 m.</w:t>
            </w:r>
          </w:p>
          <w:p w14:paraId="10A349F3" w14:textId="66E09183" w:rsidR="000F5079" w:rsidRPr="00EC247F" w:rsidRDefault="000F5079" w:rsidP="00695B8A">
            <w:pPr>
              <w:rPr>
                <w:lang w:val="lt-LT"/>
              </w:rPr>
            </w:pPr>
            <w:r>
              <w:rPr>
                <w:lang w:val="lt-LT"/>
              </w:rPr>
              <w:t>Naujas rodiklis</w:t>
            </w:r>
          </w:p>
        </w:tc>
        <w:tc>
          <w:tcPr>
            <w:tcW w:w="1243" w:type="dxa"/>
            <w:gridSpan w:val="2"/>
          </w:tcPr>
          <w:p w14:paraId="6358B329" w14:textId="77777777" w:rsidR="00D67815" w:rsidRPr="00EC247F" w:rsidRDefault="00D67815" w:rsidP="00695B8A">
            <w:pPr>
              <w:rPr>
                <w:lang w:val="lt-LT"/>
              </w:rPr>
            </w:pPr>
            <w:r w:rsidRPr="00EC247F">
              <w:rPr>
                <w:lang w:val="lt-LT"/>
              </w:rPr>
              <w:t>LSD</w:t>
            </w:r>
          </w:p>
        </w:tc>
        <w:tc>
          <w:tcPr>
            <w:tcW w:w="6750" w:type="dxa"/>
          </w:tcPr>
          <w:p w14:paraId="5CDE1B76" w14:textId="3863A24F" w:rsidR="004051AE" w:rsidRPr="00EC247F" w:rsidRDefault="0058353C" w:rsidP="00C708DD">
            <w:pPr>
              <w:rPr>
                <w:lang w:val="lt-LT"/>
              </w:rPr>
            </w:pPr>
            <w:r w:rsidRPr="00EC247F">
              <w:rPr>
                <w:lang w:val="lt-LT"/>
              </w:rPr>
              <w:t>Moterų mažesnis darbo užmokestis, didesnė koncentracija ne visą darbo laiką</w:t>
            </w:r>
            <w:r w:rsidR="00E50B63" w:rsidRPr="00EC247F">
              <w:rPr>
                <w:lang w:val="lt-LT"/>
              </w:rPr>
              <w:t xml:space="preserve"> dirbančiųjų tarpe ir dažnesni karjeros pertrūkiai </w:t>
            </w:r>
            <w:r w:rsidR="00C708DD" w:rsidRPr="00EC247F">
              <w:rPr>
                <w:lang w:val="lt-LT"/>
              </w:rPr>
              <w:t xml:space="preserve">dėl vaikų ar suaugusių artimųjų priežiūros, </w:t>
            </w:r>
            <w:r w:rsidR="00E50B63" w:rsidRPr="00EC247F">
              <w:rPr>
                <w:lang w:val="lt-LT"/>
              </w:rPr>
              <w:t>daro poveikį bazinei jų pensijai ir atitinkamai didina riziką senatvėje gyventi skurde</w:t>
            </w:r>
            <w:r w:rsidR="00802171" w:rsidRPr="00EC247F">
              <w:rPr>
                <w:rStyle w:val="FootnoteReference"/>
                <w:lang w:val="lt-LT"/>
              </w:rPr>
              <w:footnoteReference w:id="57"/>
            </w:r>
            <w:r w:rsidR="00E50B63" w:rsidRPr="00EC247F">
              <w:rPr>
                <w:lang w:val="lt-LT"/>
              </w:rPr>
              <w:t>.</w:t>
            </w:r>
            <w:r w:rsidR="004051AE" w:rsidRPr="00EC247F">
              <w:rPr>
                <w:lang w:val="lt-LT"/>
              </w:rPr>
              <w:t xml:space="preserve"> </w:t>
            </w:r>
            <w:r w:rsidR="00C708DD" w:rsidRPr="00EC247F">
              <w:rPr>
                <w:lang w:val="lt-LT"/>
              </w:rPr>
              <w:t xml:space="preserve">Rodiklis </w:t>
            </w:r>
            <w:r w:rsidR="00E61859" w:rsidRPr="00EC247F">
              <w:rPr>
                <w:lang w:val="lt-LT"/>
              </w:rPr>
              <w:t>parodo skirtumą</w:t>
            </w:r>
            <w:r w:rsidR="00C44173" w:rsidRPr="00EC247F">
              <w:rPr>
                <w:lang w:val="lt-LT"/>
              </w:rPr>
              <w:t xml:space="preserve"> procentais</w:t>
            </w:r>
            <w:r w:rsidR="001A61AE">
              <w:rPr>
                <w:lang w:val="lt-LT"/>
              </w:rPr>
              <w:t xml:space="preserve"> tarp vidutinės moterų ir vy</w:t>
            </w:r>
            <w:r w:rsidR="00E61859" w:rsidRPr="00EC247F">
              <w:rPr>
                <w:lang w:val="lt-LT"/>
              </w:rPr>
              <w:t>rų</w:t>
            </w:r>
            <w:r w:rsidR="00C708DD" w:rsidRPr="00EC247F">
              <w:rPr>
                <w:lang w:val="lt-LT"/>
              </w:rPr>
              <w:t xml:space="preserve"> valstybinio socialinio draudimo</w:t>
            </w:r>
            <w:r w:rsidR="00E61859" w:rsidRPr="00EC247F">
              <w:rPr>
                <w:lang w:val="lt-LT"/>
              </w:rPr>
              <w:t xml:space="preserve"> senatvės pensijos. A</w:t>
            </w:r>
            <w:r w:rsidR="004051AE" w:rsidRPr="00EC247F">
              <w:rPr>
                <w:lang w:val="lt-LT"/>
              </w:rPr>
              <w:t xml:space="preserve">pskaičiuojamas iš 1 atėmus </w:t>
            </w:r>
            <w:r w:rsidR="00E61859" w:rsidRPr="00EC247F">
              <w:rPr>
                <w:lang w:val="lt-LT"/>
              </w:rPr>
              <w:t>v</w:t>
            </w:r>
            <w:r w:rsidR="004051AE" w:rsidRPr="00EC247F">
              <w:rPr>
                <w:lang w:val="lt-LT"/>
              </w:rPr>
              <w:t xml:space="preserve">idutinės moterų senatvės pensijos </w:t>
            </w:r>
            <w:r w:rsidR="004051AE" w:rsidRPr="00EC247F">
              <w:rPr>
                <w:lang w:val="lt-LT"/>
              </w:rPr>
              <w:lastRenderedPageBreak/>
              <w:t>dydžio ir vidutinės vyrų senatvės pen</w:t>
            </w:r>
            <w:r w:rsidR="0087119B">
              <w:rPr>
                <w:lang w:val="lt-LT"/>
              </w:rPr>
              <w:t>sijos dydžio santykį, padauginus</w:t>
            </w:r>
            <w:r w:rsidR="004051AE" w:rsidRPr="00EC247F">
              <w:rPr>
                <w:lang w:val="lt-LT"/>
              </w:rPr>
              <w:t xml:space="preserve"> iš 100</w:t>
            </w:r>
            <w:r w:rsidR="00C44173" w:rsidRPr="00EC247F">
              <w:rPr>
                <w:lang w:val="lt-LT"/>
              </w:rPr>
              <w:t>.</w:t>
            </w:r>
            <w:r w:rsidR="004051AE" w:rsidRPr="00EC247F">
              <w:rPr>
                <w:rStyle w:val="FootnoteReference"/>
                <w:lang w:val="lt-LT"/>
              </w:rPr>
              <w:footnoteReference w:id="58"/>
            </w:r>
            <w:r w:rsidR="004051AE" w:rsidRPr="00EC247F">
              <w:rPr>
                <w:lang w:val="lt-LT"/>
              </w:rPr>
              <w:t xml:space="preserve"> </w:t>
            </w:r>
          </w:p>
        </w:tc>
      </w:tr>
      <w:tr w:rsidR="00D67815" w:rsidRPr="00EC247F" w14:paraId="6100636A" w14:textId="77777777" w:rsidTr="00AD1B26">
        <w:trPr>
          <w:jc w:val="center"/>
        </w:trPr>
        <w:tc>
          <w:tcPr>
            <w:tcW w:w="570" w:type="dxa"/>
          </w:tcPr>
          <w:p w14:paraId="096ACDC7" w14:textId="6EBE77B9" w:rsidR="00D67815" w:rsidRPr="00EC247F" w:rsidRDefault="00D67815" w:rsidP="00741A16">
            <w:pPr>
              <w:rPr>
                <w:lang w:val="lt-LT"/>
              </w:rPr>
            </w:pPr>
            <w:r w:rsidRPr="00EC247F">
              <w:rPr>
                <w:lang w:val="lt-LT"/>
              </w:rPr>
              <w:lastRenderedPageBreak/>
              <w:t>2</w:t>
            </w:r>
            <w:r w:rsidR="00702435">
              <w:rPr>
                <w:lang w:val="lt-LT"/>
              </w:rPr>
              <w:t>8</w:t>
            </w:r>
            <w:r w:rsidRPr="00EC247F">
              <w:rPr>
                <w:lang w:val="lt-LT"/>
              </w:rPr>
              <w:t>.</w:t>
            </w:r>
          </w:p>
        </w:tc>
        <w:tc>
          <w:tcPr>
            <w:tcW w:w="3115" w:type="dxa"/>
          </w:tcPr>
          <w:p w14:paraId="61651313" w14:textId="079E8DA9" w:rsidR="00D67815" w:rsidRPr="00EC247F" w:rsidRDefault="006C60B7" w:rsidP="00C44173">
            <w:pPr>
              <w:rPr>
                <w:lang w:val="lt-LT"/>
              </w:rPr>
            </w:pPr>
            <w:r w:rsidRPr="00EC247F">
              <w:rPr>
                <w:lang w:val="lt-LT"/>
              </w:rPr>
              <w:t>Valstybinio socialinio draudimo vidutinės išankstinės senatvės pensijų gavėjų skaičius, tenkantis 1 tūkst. darbingo amžiaus gyventojų</w:t>
            </w:r>
          </w:p>
        </w:tc>
        <w:tc>
          <w:tcPr>
            <w:tcW w:w="2340" w:type="dxa"/>
          </w:tcPr>
          <w:p w14:paraId="7D999A30" w14:textId="77777777" w:rsidR="00D67815" w:rsidRPr="00EC247F" w:rsidRDefault="00D67815" w:rsidP="002E19D0">
            <w:pPr>
              <w:rPr>
                <w:lang w:val="lt-LT"/>
              </w:rPr>
            </w:pPr>
            <w:r w:rsidRPr="00EC247F">
              <w:rPr>
                <w:lang w:val="lt-LT"/>
              </w:rPr>
              <w:t xml:space="preserve">Savivaldybės </w:t>
            </w:r>
          </w:p>
          <w:p w14:paraId="08BD1EEC" w14:textId="77777777" w:rsidR="00D67815" w:rsidRPr="00EC247F" w:rsidRDefault="00D67815" w:rsidP="002E19D0">
            <w:pPr>
              <w:rPr>
                <w:lang w:val="lt-LT"/>
              </w:rPr>
            </w:pPr>
            <w:r w:rsidRPr="00EC247F">
              <w:rPr>
                <w:lang w:val="lt-LT"/>
              </w:rPr>
              <w:t>Lytis</w:t>
            </w:r>
          </w:p>
        </w:tc>
        <w:tc>
          <w:tcPr>
            <w:tcW w:w="1727" w:type="dxa"/>
          </w:tcPr>
          <w:p w14:paraId="09FAC515" w14:textId="77777777" w:rsidR="00D67815" w:rsidRDefault="00D67815" w:rsidP="00695B8A">
            <w:pPr>
              <w:rPr>
                <w:lang w:val="lt-LT"/>
              </w:rPr>
            </w:pPr>
            <w:r w:rsidRPr="00EC247F">
              <w:rPr>
                <w:lang w:val="lt-LT"/>
              </w:rPr>
              <w:t>Nuo 2012 m.</w:t>
            </w:r>
          </w:p>
          <w:p w14:paraId="5A580465" w14:textId="7467733E" w:rsidR="000F5079" w:rsidRPr="00EC247F" w:rsidRDefault="000F5079" w:rsidP="00695B8A">
            <w:pPr>
              <w:rPr>
                <w:lang w:val="lt-LT"/>
              </w:rPr>
            </w:pPr>
            <w:r>
              <w:rPr>
                <w:lang w:val="lt-LT"/>
              </w:rPr>
              <w:t>Naujas rodiklis</w:t>
            </w:r>
          </w:p>
        </w:tc>
        <w:tc>
          <w:tcPr>
            <w:tcW w:w="1243" w:type="dxa"/>
            <w:gridSpan w:val="2"/>
          </w:tcPr>
          <w:p w14:paraId="7DAD8D86" w14:textId="77777777" w:rsidR="00D67815" w:rsidRPr="00EC247F" w:rsidRDefault="00D67815" w:rsidP="00695B8A">
            <w:pPr>
              <w:rPr>
                <w:lang w:val="lt-LT"/>
              </w:rPr>
            </w:pPr>
            <w:r w:rsidRPr="00EC247F">
              <w:rPr>
                <w:lang w:val="lt-LT"/>
              </w:rPr>
              <w:t>LSD</w:t>
            </w:r>
          </w:p>
        </w:tc>
        <w:tc>
          <w:tcPr>
            <w:tcW w:w="6750" w:type="dxa"/>
          </w:tcPr>
          <w:p w14:paraId="2A68945F" w14:textId="77777777" w:rsidR="008306E3" w:rsidRDefault="005E468A" w:rsidP="00215D89">
            <w:pPr>
              <w:rPr>
                <w:szCs w:val="20"/>
                <w:lang w:val="lt-LT"/>
              </w:rPr>
            </w:pPr>
            <w:r w:rsidRPr="00EC247F">
              <w:rPr>
                <w:szCs w:val="20"/>
                <w:lang w:val="lt-LT"/>
              </w:rPr>
              <w:t xml:space="preserve">Dėl išankstinės </w:t>
            </w:r>
            <w:r w:rsidR="00321520" w:rsidRPr="00EC247F">
              <w:rPr>
                <w:szCs w:val="20"/>
                <w:lang w:val="lt-LT"/>
              </w:rPr>
              <w:t xml:space="preserve">senatvės pensijos </w:t>
            </w:r>
            <w:r w:rsidRPr="00EC247F">
              <w:rPr>
                <w:szCs w:val="20"/>
                <w:lang w:val="lt-LT"/>
              </w:rPr>
              <w:t>skyrimo gali kreiptis asmuo, kuriam iki senatvės pensijos amžiaus yra likę ne daugiau kaip 5 metai, kuris neturi</w:t>
            </w:r>
            <w:r w:rsidR="00321520" w:rsidRPr="00EC247F">
              <w:rPr>
                <w:szCs w:val="20"/>
                <w:lang w:val="lt-LT"/>
              </w:rPr>
              <w:t xml:space="preserve"> jokių darbinių ar kitų draudži</w:t>
            </w:r>
            <w:r w:rsidR="008306E3">
              <w:rPr>
                <w:szCs w:val="20"/>
                <w:lang w:val="lt-LT"/>
              </w:rPr>
              <w:t xml:space="preserve">amųjų pajamų ir nedirba, tačiau </w:t>
            </w:r>
            <w:r w:rsidR="00321520" w:rsidRPr="00EC247F">
              <w:rPr>
                <w:szCs w:val="20"/>
                <w:lang w:val="lt-LT"/>
              </w:rPr>
              <w:t>turi 30 metų stažą</w:t>
            </w:r>
            <w:r w:rsidR="006C60B7" w:rsidRPr="00EC247F">
              <w:rPr>
                <w:szCs w:val="20"/>
                <w:lang w:val="lt-LT"/>
              </w:rPr>
              <w:t>.</w:t>
            </w:r>
            <w:r w:rsidRPr="00EC247F">
              <w:rPr>
                <w:szCs w:val="20"/>
                <w:lang w:val="lt-LT"/>
              </w:rPr>
              <w:t xml:space="preserve"> Jei išankstinės pensijos mokėjimo metu asmuo įsidarbina, gauna kitų draudžiamųjų pajamų, pensijų ar pašalpų</w:t>
            </w:r>
            <w:r w:rsidR="008306E3">
              <w:rPr>
                <w:szCs w:val="20"/>
                <w:lang w:val="lt-LT"/>
              </w:rPr>
              <w:t xml:space="preserve">, išankstinės senatvės pensijos </w:t>
            </w:r>
            <w:r w:rsidRPr="00EC247F">
              <w:rPr>
                <w:szCs w:val="20"/>
                <w:lang w:val="lt-LT"/>
              </w:rPr>
              <w:t>mokėjimas nutraukiamas arba sustabdomas</w:t>
            </w:r>
            <w:r w:rsidR="006C60B7" w:rsidRPr="00EC247F">
              <w:rPr>
                <w:szCs w:val="20"/>
                <w:vertAlign w:val="superscript"/>
                <w:lang w:val="lt-LT"/>
              </w:rPr>
              <w:t xml:space="preserve"> </w:t>
            </w:r>
            <w:r w:rsidR="006C60B7" w:rsidRPr="00EC247F">
              <w:rPr>
                <w:szCs w:val="20"/>
                <w:vertAlign w:val="superscript"/>
                <w:lang w:val="lt-LT"/>
              </w:rPr>
              <w:footnoteReference w:id="59"/>
            </w:r>
            <w:r w:rsidR="006C60B7" w:rsidRPr="00EC247F">
              <w:rPr>
                <w:szCs w:val="20"/>
                <w:lang w:val="lt-LT"/>
              </w:rPr>
              <w:t>.</w:t>
            </w:r>
            <w:r w:rsidR="008306E3">
              <w:rPr>
                <w:szCs w:val="20"/>
                <w:lang w:val="lt-LT"/>
              </w:rPr>
              <w:t xml:space="preserve"> </w:t>
            </w:r>
          </w:p>
          <w:p w14:paraId="62513182" w14:textId="77777777" w:rsidR="008306E3" w:rsidRDefault="008306E3" w:rsidP="00215D89">
            <w:pPr>
              <w:rPr>
                <w:szCs w:val="20"/>
                <w:lang w:val="lt-LT"/>
              </w:rPr>
            </w:pPr>
          </w:p>
          <w:p w14:paraId="061B5108" w14:textId="5FE54116" w:rsidR="00D67815" w:rsidRPr="00EC247F" w:rsidRDefault="005E468A" w:rsidP="00215D89">
            <w:pPr>
              <w:rPr>
                <w:lang w:val="lt-LT"/>
              </w:rPr>
            </w:pPr>
            <w:r w:rsidRPr="00EC247F">
              <w:rPr>
                <w:szCs w:val="20"/>
                <w:lang w:val="lt-LT"/>
              </w:rPr>
              <w:t xml:space="preserve">Rodiklis netiesiogiai atskleidžia </w:t>
            </w:r>
            <w:r w:rsidR="005E5929" w:rsidRPr="00EC247F">
              <w:rPr>
                <w:szCs w:val="20"/>
                <w:lang w:val="lt-LT"/>
              </w:rPr>
              <w:t>įsi</w:t>
            </w:r>
            <w:r w:rsidRPr="00EC247F">
              <w:rPr>
                <w:szCs w:val="20"/>
                <w:lang w:val="lt-LT"/>
              </w:rPr>
              <w:t>darb</w:t>
            </w:r>
            <w:r w:rsidR="005E5929" w:rsidRPr="00EC247F">
              <w:rPr>
                <w:szCs w:val="20"/>
                <w:lang w:val="lt-LT"/>
              </w:rPr>
              <w:t>inimo</w:t>
            </w:r>
            <w:r w:rsidRPr="00EC247F">
              <w:rPr>
                <w:szCs w:val="20"/>
                <w:lang w:val="lt-LT"/>
              </w:rPr>
              <w:t xml:space="preserve"> priešpensiniame amžiuje </w:t>
            </w:r>
            <w:r w:rsidR="005E5929" w:rsidRPr="00EC247F">
              <w:rPr>
                <w:szCs w:val="20"/>
                <w:lang w:val="lt-LT"/>
              </w:rPr>
              <w:t>sunku</w:t>
            </w:r>
            <w:r w:rsidRPr="00EC247F">
              <w:rPr>
                <w:szCs w:val="20"/>
                <w:lang w:val="lt-LT"/>
              </w:rPr>
              <w:t xml:space="preserve">mų mastą savivaldybėse, </w:t>
            </w:r>
            <w:r w:rsidR="003A7F44" w:rsidRPr="00EC247F">
              <w:rPr>
                <w:szCs w:val="20"/>
                <w:lang w:val="lt-LT"/>
              </w:rPr>
              <w:t xml:space="preserve">nes pasirinkęs išankstinę pensiją asmuo </w:t>
            </w:r>
            <w:r w:rsidR="00215D89">
              <w:rPr>
                <w:szCs w:val="20"/>
                <w:lang w:val="lt-LT"/>
              </w:rPr>
              <w:t xml:space="preserve">apsisprendžia </w:t>
            </w:r>
            <w:r w:rsidR="003A7F44" w:rsidRPr="00EC247F">
              <w:rPr>
                <w:szCs w:val="20"/>
                <w:lang w:val="lt-LT"/>
              </w:rPr>
              <w:t>gau</w:t>
            </w:r>
            <w:r w:rsidR="00215D89">
              <w:rPr>
                <w:szCs w:val="20"/>
                <w:lang w:val="lt-LT"/>
              </w:rPr>
              <w:t>ti</w:t>
            </w:r>
            <w:r w:rsidR="003A7F44" w:rsidRPr="00EC247F">
              <w:rPr>
                <w:szCs w:val="20"/>
                <w:lang w:val="lt-LT"/>
              </w:rPr>
              <w:t xml:space="preserve"> mažesnę </w:t>
            </w:r>
            <w:r w:rsidR="00215D89">
              <w:rPr>
                <w:szCs w:val="20"/>
                <w:lang w:val="lt-LT"/>
              </w:rPr>
              <w:t xml:space="preserve">senatvės </w:t>
            </w:r>
            <w:r w:rsidR="003A7F44" w:rsidRPr="00EC247F">
              <w:rPr>
                <w:szCs w:val="20"/>
                <w:lang w:val="lt-LT"/>
              </w:rPr>
              <w:t>pensiją</w:t>
            </w:r>
            <w:r w:rsidR="00215D89">
              <w:rPr>
                <w:szCs w:val="20"/>
                <w:lang w:val="lt-LT"/>
              </w:rPr>
              <w:t xml:space="preserve"> vėliau, kai sulauks pensinio amžiaus</w:t>
            </w:r>
            <w:r w:rsidR="003A7F44" w:rsidRPr="00EC247F">
              <w:rPr>
                <w:szCs w:val="20"/>
                <w:lang w:val="lt-LT"/>
              </w:rPr>
              <w:t xml:space="preserve">. Ši pensija yra mažinama priklausomai nuo to, kiek laiko yra likę iki </w:t>
            </w:r>
            <w:r w:rsidR="00215D89">
              <w:rPr>
                <w:szCs w:val="20"/>
                <w:lang w:val="lt-LT"/>
              </w:rPr>
              <w:t>asmeniui</w:t>
            </w:r>
            <w:r w:rsidR="003A7F44" w:rsidRPr="00EC247F">
              <w:rPr>
                <w:szCs w:val="20"/>
                <w:lang w:val="lt-LT"/>
              </w:rPr>
              <w:t xml:space="preserve"> nustatyto pensinio amžiaus</w:t>
            </w:r>
            <w:r w:rsidR="003A7F44" w:rsidRPr="00EC247F">
              <w:rPr>
                <w:szCs w:val="20"/>
                <w:vertAlign w:val="superscript"/>
                <w:lang w:val="lt-LT"/>
              </w:rPr>
              <w:footnoteReference w:id="60"/>
            </w:r>
            <w:r w:rsidR="003A7F44" w:rsidRPr="00EC247F">
              <w:rPr>
                <w:szCs w:val="20"/>
                <w:lang w:val="lt-LT"/>
              </w:rPr>
              <w:t>.</w:t>
            </w:r>
            <w:r w:rsidR="008306E3">
              <w:rPr>
                <w:szCs w:val="20"/>
                <w:lang w:val="lt-LT"/>
              </w:rPr>
              <w:t xml:space="preserve"> </w:t>
            </w:r>
          </w:p>
        </w:tc>
      </w:tr>
      <w:tr w:rsidR="00D67815" w:rsidRPr="00485D1C" w14:paraId="6E56DDA9" w14:textId="77777777" w:rsidTr="00AD1B26">
        <w:trPr>
          <w:jc w:val="center"/>
        </w:trPr>
        <w:tc>
          <w:tcPr>
            <w:tcW w:w="570" w:type="dxa"/>
          </w:tcPr>
          <w:p w14:paraId="66F2CC98" w14:textId="5BECF2AF" w:rsidR="00D67815" w:rsidRPr="00EC247F" w:rsidRDefault="00702435" w:rsidP="00695B8A">
            <w:pPr>
              <w:rPr>
                <w:lang w:val="lt-LT"/>
              </w:rPr>
            </w:pPr>
            <w:r>
              <w:rPr>
                <w:lang w:val="lt-LT"/>
              </w:rPr>
              <w:t>29</w:t>
            </w:r>
            <w:r w:rsidR="00D67815" w:rsidRPr="00EC247F">
              <w:rPr>
                <w:lang w:val="lt-LT"/>
              </w:rPr>
              <w:t>.</w:t>
            </w:r>
          </w:p>
        </w:tc>
        <w:tc>
          <w:tcPr>
            <w:tcW w:w="3115" w:type="dxa"/>
          </w:tcPr>
          <w:p w14:paraId="0B9FE36D" w14:textId="77777777" w:rsidR="00D67815" w:rsidRPr="00EC247F" w:rsidRDefault="00D67815" w:rsidP="00695B8A">
            <w:pPr>
              <w:rPr>
                <w:lang w:val="lt-LT"/>
              </w:rPr>
            </w:pPr>
            <w:r w:rsidRPr="00EC247F">
              <w:rPr>
                <w:lang w:val="lt-LT"/>
              </w:rPr>
              <w:t>Socialinės pašalpos gavėjų skaičius, tenkantis 1 tūkst. gyventojų</w:t>
            </w:r>
          </w:p>
        </w:tc>
        <w:tc>
          <w:tcPr>
            <w:tcW w:w="2340" w:type="dxa"/>
          </w:tcPr>
          <w:p w14:paraId="0FE477E9" w14:textId="77777777" w:rsidR="00D67815" w:rsidRPr="00EC247F" w:rsidRDefault="00D67815" w:rsidP="002E19D0">
            <w:pPr>
              <w:rPr>
                <w:lang w:val="lt-LT"/>
              </w:rPr>
            </w:pPr>
            <w:r w:rsidRPr="00EC247F">
              <w:rPr>
                <w:lang w:val="lt-LT"/>
              </w:rPr>
              <w:t xml:space="preserve">Savivaldybės </w:t>
            </w:r>
          </w:p>
          <w:p w14:paraId="4AD8D8AC" w14:textId="77777777" w:rsidR="00D67815" w:rsidRPr="00EC247F" w:rsidRDefault="00D67815" w:rsidP="002E19D0">
            <w:pPr>
              <w:rPr>
                <w:lang w:val="lt-LT"/>
              </w:rPr>
            </w:pPr>
            <w:r w:rsidRPr="00EC247F">
              <w:rPr>
                <w:lang w:val="lt-LT"/>
              </w:rPr>
              <w:t>Lytis</w:t>
            </w:r>
          </w:p>
        </w:tc>
        <w:tc>
          <w:tcPr>
            <w:tcW w:w="1727" w:type="dxa"/>
          </w:tcPr>
          <w:p w14:paraId="19C967DE" w14:textId="77777777" w:rsidR="00D67815" w:rsidRDefault="00D67815" w:rsidP="00695B8A">
            <w:pPr>
              <w:rPr>
                <w:lang w:val="lt-LT"/>
              </w:rPr>
            </w:pPr>
            <w:r w:rsidRPr="00EC247F">
              <w:rPr>
                <w:lang w:val="lt-LT"/>
              </w:rPr>
              <w:t>Nuo 2018 m.</w:t>
            </w:r>
          </w:p>
          <w:p w14:paraId="7BFD0CB5" w14:textId="3E2F1086" w:rsidR="00DE1C06" w:rsidRPr="00EC247F" w:rsidRDefault="00DE1C06" w:rsidP="00695B8A">
            <w:pPr>
              <w:rPr>
                <w:lang w:val="lt-LT"/>
              </w:rPr>
            </w:pPr>
            <w:r>
              <w:rPr>
                <w:lang w:val="lt-LT"/>
              </w:rPr>
              <w:t>Dalinai skelbiama (trūksta lyties dimensijos, pateikiami absoliutūs sk.)</w:t>
            </w:r>
          </w:p>
        </w:tc>
        <w:tc>
          <w:tcPr>
            <w:tcW w:w="1243" w:type="dxa"/>
            <w:gridSpan w:val="2"/>
          </w:tcPr>
          <w:p w14:paraId="35DD6DDF" w14:textId="77777777" w:rsidR="00D67815" w:rsidRPr="00EC247F" w:rsidRDefault="00D67815" w:rsidP="00695B8A">
            <w:pPr>
              <w:rPr>
                <w:lang w:val="lt-LT"/>
              </w:rPr>
            </w:pPr>
            <w:r w:rsidRPr="00EC247F">
              <w:rPr>
                <w:lang w:val="lt-LT"/>
              </w:rPr>
              <w:t>LSD</w:t>
            </w:r>
          </w:p>
        </w:tc>
        <w:tc>
          <w:tcPr>
            <w:tcW w:w="6750" w:type="dxa"/>
          </w:tcPr>
          <w:p w14:paraId="0ACCD011" w14:textId="15820373" w:rsidR="003D2488" w:rsidRPr="00EC247F" w:rsidRDefault="008F097D" w:rsidP="007113B2">
            <w:pPr>
              <w:rPr>
                <w:lang w:val="lt-LT"/>
              </w:rPr>
            </w:pPr>
            <w:r w:rsidRPr="00EC247F">
              <w:rPr>
                <w:lang w:val="lt-LT"/>
              </w:rPr>
              <w:t>Vienas svarbių ekonominės galio</w:t>
            </w:r>
            <w:r w:rsidR="00311401" w:rsidRPr="00EC247F">
              <w:rPr>
                <w:lang w:val="lt-LT"/>
              </w:rPr>
              <w:t>s</w:t>
            </w:r>
            <w:r w:rsidRPr="00EC247F">
              <w:rPr>
                <w:lang w:val="lt-LT"/>
              </w:rPr>
              <w:t xml:space="preserve"> rodiklių yra </w:t>
            </w:r>
            <w:r w:rsidR="00C80E91" w:rsidRPr="00EC247F">
              <w:rPr>
                <w:lang w:val="lt-LT"/>
              </w:rPr>
              <w:t>skurdo rizikos lygis pagal lytį. Tačiau jis skaičiuojamas atrankinių tyrimų pagrindu, visos šalies mastu, todėl savivaldybių lygiu nebūtų reprezentatyvus.</w:t>
            </w:r>
            <w:r w:rsidR="003D2488" w:rsidRPr="00EC247F">
              <w:rPr>
                <w:lang w:val="lt-LT"/>
              </w:rPr>
              <w:t xml:space="preserve"> Socialinės pašalpos gavėjų skaičius, tenkantis 1 tūkst. gyventojų</w:t>
            </w:r>
            <w:r w:rsidR="00311401" w:rsidRPr="00215D89">
              <w:rPr>
                <w:lang w:val="lt-LT"/>
              </w:rPr>
              <w:t>,</w:t>
            </w:r>
            <w:r w:rsidR="003D2488" w:rsidRPr="00EC247F">
              <w:rPr>
                <w:lang w:val="lt-LT"/>
              </w:rPr>
              <w:t xml:space="preserve"> nėra tapatus skurdo rizikos</w:t>
            </w:r>
            <w:r w:rsidR="007113B2" w:rsidRPr="00EC247F">
              <w:rPr>
                <w:lang w:val="lt-LT"/>
              </w:rPr>
              <w:t xml:space="preserve"> rodikliui, bet a</w:t>
            </w:r>
            <w:r w:rsidR="003D2488" w:rsidRPr="00EC247F">
              <w:rPr>
                <w:lang w:val="lt-LT"/>
              </w:rPr>
              <w:t>rtimas.</w:t>
            </w:r>
            <w:r w:rsidR="00C80E91" w:rsidRPr="00EC247F">
              <w:rPr>
                <w:lang w:val="lt-LT"/>
              </w:rPr>
              <w:t xml:space="preserve"> </w:t>
            </w:r>
            <w:r w:rsidR="00375446" w:rsidRPr="00EC247F">
              <w:rPr>
                <w:lang w:val="lt-LT"/>
              </w:rPr>
              <w:t>Teisę gauti piniginę socialinę paramą</w:t>
            </w:r>
            <w:r w:rsidR="00C80E91" w:rsidRPr="00EC247F">
              <w:rPr>
                <w:lang w:val="lt-LT"/>
              </w:rPr>
              <w:t xml:space="preserve"> </w:t>
            </w:r>
            <w:r w:rsidR="00375446" w:rsidRPr="00EC247F">
              <w:rPr>
                <w:lang w:val="lt-LT"/>
              </w:rPr>
              <w:t>turi š</w:t>
            </w:r>
            <w:r w:rsidR="003D2488" w:rsidRPr="00EC247F">
              <w:rPr>
                <w:lang w:val="lt-LT"/>
              </w:rPr>
              <w:t>eima arba vienas gyvenantis asmuo, ku</w:t>
            </w:r>
            <w:r w:rsidR="00375446" w:rsidRPr="00EC247F">
              <w:rPr>
                <w:lang w:val="lt-LT"/>
              </w:rPr>
              <w:t>rių turimo turto vertė neviršija turto vertės normatyv</w:t>
            </w:r>
            <w:r w:rsidR="00AB4C6B">
              <w:rPr>
                <w:lang w:val="lt-LT"/>
              </w:rPr>
              <w:t>o; pajamos</w:t>
            </w:r>
            <w:r w:rsidR="0013124F">
              <w:rPr>
                <w:lang w:val="lt-LT"/>
              </w:rPr>
              <w:t xml:space="preserve"> </w:t>
            </w:r>
            <w:r w:rsidR="00375446" w:rsidRPr="00EC247F">
              <w:rPr>
                <w:lang w:val="lt-LT"/>
              </w:rPr>
              <w:t>yra mažesnės už valstybės remiamas pajamas (VRP – 102 Eur) bendrai gyvenantiems asmenims arba vienam gyvenančiam asmeniui</w:t>
            </w:r>
            <w:r w:rsidR="00375446" w:rsidRPr="00EC247F">
              <w:rPr>
                <w:rStyle w:val="FootnoteReference"/>
                <w:lang w:val="lt-LT"/>
              </w:rPr>
              <w:footnoteReference w:id="61"/>
            </w:r>
            <w:r w:rsidR="00375446" w:rsidRPr="00EC247F">
              <w:rPr>
                <w:lang w:val="lt-LT"/>
              </w:rPr>
              <w:t xml:space="preserve">. </w:t>
            </w:r>
            <w:r w:rsidR="003D2488" w:rsidRPr="00EC247F">
              <w:rPr>
                <w:lang w:val="lt-LT"/>
              </w:rPr>
              <w:t>Vidutinis metinis socialinės pašalpos gavėjų skaičius – tai dydis, rodantis, kiek vidutiniškai per mėnesį asmenų atitinkamais metais savivaldybėje gavo socialinę pašalpą</w:t>
            </w:r>
            <w:r w:rsidR="003D2488" w:rsidRPr="00EC247F">
              <w:rPr>
                <w:rStyle w:val="FootnoteReference"/>
                <w:lang w:val="lt-LT"/>
              </w:rPr>
              <w:footnoteReference w:id="62"/>
            </w:r>
            <w:r w:rsidR="003D2488" w:rsidRPr="00EC247F">
              <w:rPr>
                <w:lang w:val="lt-LT"/>
              </w:rPr>
              <w:t xml:space="preserve">. </w:t>
            </w:r>
          </w:p>
        </w:tc>
      </w:tr>
      <w:tr w:rsidR="00D67815" w:rsidRPr="00485D1C" w14:paraId="6ED7EB0B" w14:textId="77777777" w:rsidTr="00AD1B26">
        <w:trPr>
          <w:jc w:val="center"/>
        </w:trPr>
        <w:tc>
          <w:tcPr>
            <w:tcW w:w="570" w:type="dxa"/>
          </w:tcPr>
          <w:p w14:paraId="15829329" w14:textId="71DF9A21" w:rsidR="00D67815" w:rsidRPr="00EC247F" w:rsidRDefault="00702435" w:rsidP="0004057F">
            <w:pPr>
              <w:rPr>
                <w:lang w:val="lt-LT"/>
              </w:rPr>
            </w:pPr>
            <w:r>
              <w:rPr>
                <w:lang w:val="lt-LT"/>
              </w:rPr>
              <w:t>30</w:t>
            </w:r>
            <w:r w:rsidR="00D67815" w:rsidRPr="00EC247F">
              <w:rPr>
                <w:lang w:val="lt-LT"/>
              </w:rPr>
              <w:t>.</w:t>
            </w:r>
          </w:p>
        </w:tc>
        <w:tc>
          <w:tcPr>
            <w:tcW w:w="3115" w:type="dxa"/>
          </w:tcPr>
          <w:p w14:paraId="4D543BA0" w14:textId="77777777" w:rsidR="00D67815" w:rsidRPr="00EC247F" w:rsidRDefault="00D67815" w:rsidP="00375446">
            <w:pPr>
              <w:rPr>
                <w:lang w:val="lt-LT"/>
              </w:rPr>
            </w:pPr>
            <w:r w:rsidRPr="00EC247F">
              <w:rPr>
                <w:lang w:val="lt-LT"/>
              </w:rPr>
              <w:t xml:space="preserve">Senyvo amžiaus socialinės pašalpos gavėjai (65 metų ir </w:t>
            </w:r>
            <w:r w:rsidRPr="00EC247F">
              <w:rPr>
                <w:lang w:val="lt-LT"/>
              </w:rPr>
              <w:lastRenderedPageBreak/>
              <w:t xml:space="preserve">vyresni) </w:t>
            </w:r>
          </w:p>
        </w:tc>
        <w:tc>
          <w:tcPr>
            <w:tcW w:w="2340" w:type="dxa"/>
          </w:tcPr>
          <w:p w14:paraId="338037A7" w14:textId="77777777" w:rsidR="00D67815" w:rsidRPr="00EC247F" w:rsidRDefault="00D67815" w:rsidP="00695B8A">
            <w:pPr>
              <w:rPr>
                <w:lang w:val="lt-LT"/>
              </w:rPr>
            </w:pPr>
            <w:r w:rsidRPr="00EC247F">
              <w:rPr>
                <w:lang w:val="lt-LT"/>
              </w:rPr>
              <w:lastRenderedPageBreak/>
              <w:t>Lytis</w:t>
            </w:r>
          </w:p>
          <w:p w14:paraId="58E3C2EE" w14:textId="77777777" w:rsidR="00D67815" w:rsidRPr="00EC247F" w:rsidRDefault="00D67815" w:rsidP="00695B8A">
            <w:pPr>
              <w:rPr>
                <w:lang w:val="lt-LT"/>
              </w:rPr>
            </w:pPr>
            <w:r w:rsidRPr="00EC247F">
              <w:rPr>
                <w:lang w:val="lt-LT"/>
              </w:rPr>
              <w:t>Savivaldybės</w:t>
            </w:r>
          </w:p>
        </w:tc>
        <w:tc>
          <w:tcPr>
            <w:tcW w:w="1727" w:type="dxa"/>
          </w:tcPr>
          <w:p w14:paraId="34BA0651" w14:textId="17B8C92D" w:rsidR="00D67815" w:rsidRPr="00EC247F" w:rsidRDefault="00DE1C06" w:rsidP="00695B8A">
            <w:pPr>
              <w:rPr>
                <w:lang w:val="lt-LT"/>
              </w:rPr>
            </w:pPr>
            <w:r>
              <w:rPr>
                <w:lang w:val="lt-LT"/>
              </w:rPr>
              <w:t>Naujas rodiklis</w:t>
            </w:r>
          </w:p>
        </w:tc>
        <w:tc>
          <w:tcPr>
            <w:tcW w:w="1243" w:type="dxa"/>
            <w:gridSpan w:val="2"/>
          </w:tcPr>
          <w:p w14:paraId="5F9133CE" w14:textId="553D35A9" w:rsidR="00713BAA" w:rsidRPr="00EC247F" w:rsidRDefault="00D67815" w:rsidP="00695B8A">
            <w:pPr>
              <w:rPr>
                <w:lang w:val="lt-LT"/>
              </w:rPr>
            </w:pPr>
            <w:r w:rsidRPr="00EC247F">
              <w:rPr>
                <w:lang w:val="lt-LT"/>
              </w:rPr>
              <w:t>SADM</w:t>
            </w:r>
            <w:r w:rsidR="00F74DEB" w:rsidRPr="00EC247F">
              <w:rPr>
                <w:lang w:val="lt-LT"/>
              </w:rPr>
              <w:t xml:space="preserve"> </w:t>
            </w:r>
          </w:p>
          <w:p w14:paraId="607D52A1" w14:textId="77777777" w:rsidR="00D67815" w:rsidRPr="00EC247F" w:rsidRDefault="00F74DEB" w:rsidP="00695B8A">
            <w:pPr>
              <w:rPr>
                <w:lang w:val="lt-LT"/>
              </w:rPr>
            </w:pPr>
            <w:r w:rsidRPr="00EC247F">
              <w:rPr>
                <w:lang w:val="lt-LT"/>
              </w:rPr>
              <w:t>(</w:t>
            </w:r>
            <w:r w:rsidR="00D67815" w:rsidRPr="00EC247F">
              <w:rPr>
                <w:lang w:val="lt-LT"/>
              </w:rPr>
              <w:t>SPIS</w:t>
            </w:r>
            <w:r w:rsidRPr="00EC247F">
              <w:rPr>
                <w:lang w:val="lt-LT"/>
              </w:rPr>
              <w:t>)</w:t>
            </w:r>
          </w:p>
        </w:tc>
        <w:tc>
          <w:tcPr>
            <w:tcW w:w="6750" w:type="dxa"/>
          </w:tcPr>
          <w:p w14:paraId="42D7E0CD" w14:textId="74CF61AB" w:rsidR="00D67815" w:rsidRPr="00EC247F" w:rsidRDefault="00ED619D" w:rsidP="001B4233">
            <w:pPr>
              <w:rPr>
                <w:lang w:val="lt-LT"/>
              </w:rPr>
            </w:pPr>
            <w:r w:rsidRPr="00EC247F">
              <w:rPr>
                <w:lang w:val="lt-LT"/>
              </w:rPr>
              <w:t xml:space="preserve">Rodiklis parodo, kokia </w:t>
            </w:r>
            <w:r w:rsidR="00375446" w:rsidRPr="00EC247F">
              <w:rPr>
                <w:lang w:val="lt-LT"/>
              </w:rPr>
              <w:t xml:space="preserve">procentinė dalis </w:t>
            </w:r>
            <w:r w:rsidRPr="00EC247F">
              <w:rPr>
                <w:lang w:val="lt-LT"/>
              </w:rPr>
              <w:t xml:space="preserve">senyvo amžiaus asmenų (65 metų ir vyresni) </w:t>
            </w:r>
            <w:r w:rsidR="00D810DD" w:rsidRPr="00EC247F">
              <w:rPr>
                <w:lang w:val="lt-LT"/>
              </w:rPr>
              <w:t>lyginant su</w:t>
            </w:r>
            <w:r w:rsidR="00375446" w:rsidRPr="00EC247F">
              <w:rPr>
                <w:lang w:val="lt-LT"/>
              </w:rPr>
              <w:t xml:space="preserve"> vis</w:t>
            </w:r>
            <w:r w:rsidR="00D810DD" w:rsidRPr="00EC247F">
              <w:rPr>
                <w:lang w:val="lt-LT"/>
              </w:rPr>
              <w:t>ais</w:t>
            </w:r>
            <w:r w:rsidR="00375446" w:rsidRPr="00EC247F">
              <w:rPr>
                <w:lang w:val="lt-LT"/>
              </w:rPr>
              <w:t xml:space="preserve"> 65 metų ir vyresni</w:t>
            </w:r>
            <w:r w:rsidR="00D810DD" w:rsidRPr="00EC247F">
              <w:rPr>
                <w:lang w:val="lt-LT"/>
              </w:rPr>
              <w:t xml:space="preserve">ais </w:t>
            </w:r>
            <w:r w:rsidR="001B4233" w:rsidRPr="001B4233">
              <w:rPr>
                <w:lang w:val="lt-LT"/>
              </w:rPr>
              <w:lastRenderedPageBreak/>
              <w:t>moterimis</w:t>
            </w:r>
            <w:r w:rsidR="001B4233">
              <w:rPr>
                <w:lang w:val="lt-LT"/>
              </w:rPr>
              <w:t xml:space="preserve"> </w:t>
            </w:r>
            <w:r w:rsidR="00375446" w:rsidRPr="00EC247F">
              <w:rPr>
                <w:lang w:val="lt-LT"/>
              </w:rPr>
              <w:t>ir</w:t>
            </w:r>
            <w:r w:rsidR="001B4233">
              <w:rPr>
                <w:lang w:val="lt-LT"/>
              </w:rPr>
              <w:t xml:space="preserve"> vyrais</w:t>
            </w:r>
            <w:r w:rsidR="00375446" w:rsidRPr="00EC247F">
              <w:rPr>
                <w:lang w:val="lt-LT"/>
              </w:rPr>
              <w:t>, gyvenanči</w:t>
            </w:r>
            <w:r w:rsidR="00784DC9" w:rsidRPr="00EC247F">
              <w:rPr>
                <w:lang w:val="lt-LT"/>
              </w:rPr>
              <w:t>ais</w:t>
            </w:r>
            <w:r w:rsidR="00375446" w:rsidRPr="00EC247F">
              <w:rPr>
                <w:lang w:val="lt-LT"/>
              </w:rPr>
              <w:t xml:space="preserve"> </w:t>
            </w:r>
            <w:r w:rsidR="00784DC9" w:rsidRPr="00EC247F">
              <w:rPr>
                <w:lang w:val="lt-LT"/>
              </w:rPr>
              <w:t>konkrečioje</w:t>
            </w:r>
            <w:r w:rsidR="00375446" w:rsidRPr="00EC247F">
              <w:rPr>
                <w:lang w:val="lt-LT"/>
              </w:rPr>
              <w:t xml:space="preserve"> savivaldybėje</w:t>
            </w:r>
            <w:r w:rsidR="00D810DD" w:rsidRPr="00EC247F">
              <w:rPr>
                <w:lang w:val="lt-LT"/>
              </w:rPr>
              <w:t>, gauna socialinę pašalpą.</w:t>
            </w:r>
            <w:r w:rsidR="00E16B43">
              <w:rPr>
                <w:lang w:val="lt-LT"/>
              </w:rPr>
              <w:t xml:space="preserve"> </w:t>
            </w:r>
            <w:r w:rsidR="008D2697" w:rsidRPr="00EC247F">
              <w:rPr>
                <w:lang w:val="lt-LT"/>
              </w:rPr>
              <w:t xml:space="preserve">Rodiklis netapatus, bet artimas skurdo rizikos lygio sulaukus senyvo amžiaus rodikliui, kuris įtrauktas į EK 2016-2019 m. Strateginių įsipareigojimų užtikrinti lyčių lygybę aktualių </w:t>
            </w:r>
            <w:r w:rsidR="00F74DEB" w:rsidRPr="00EC247F">
              <w:rPr>
                <w:lang w:val="lt-LT"/>
              </w:rPr>
              <w:t xml:space="preserve">rodiklių </w:t>
            </w:r>
            <w:r w:rsidR="008D2697" w:rsidRPr="00EC247F">
              <w:rPr>
                <w:lang w:val="lt-LT"/>
              </w:rPr>
              <w:t>sąrašą</w:t>
            </w:r>
            <w:r w:rsidR="008D2697" w:rsidRPr="00EC247F">
              <w:rPr>
                <w:rStyle w:val="FootnoteReference"/>
                <w:lang w:val="lt-LT"/>
              </w:rPr>
              <w:footnoteReference w:id="63"/>
            </w:r>
            <w:r w:rsidR="008D2697" w:rsidRPr="00EC247F">
              <w:rPr>
                <w:lang w:val="lt-LT"/>
              </w:rPr>
              <w:t>.</w:t>
            </w:r>
            <w:r w:rsidR="00196383" w:rsidRPr="00EC247F">
              <w:rPr>
                <w:lang w:val="lt-LT"/>
              </w:rPr>
              <w:t xml:space="preserve"> Teisę gauti piniginę socialinę paramą turi šeima arba vienas gyvenantis asmuo, kurių turimo turto vertė neviršija turto vertės normatyvo; pajamos yra mažesnės už valstybės remiamas pajamas (VRP – 102 Eur) bendrai gyvenantiems asmenims arba vienam gyvenančiam asmeniui</w:t>
            </w:r>
            <w:r w:rsidR="00196383" w:rsidRPr="00EC247F">
              <w:rPr>
                <w:rStyle w:val="FootnoteReference"/>
                <w:lang w:val="lt-LT"/>
              </w:rPr>
              <w:footnoteReference w:id="64"/>
            </w:r>
            <w:r w:rsidR="00196383" w:rsidRPr="00EC247F">
              <w:rPr>
                <w:lang w:val="lt-LT"/>
              </w:rPr>
              <w:t>.</w:t>
            </w:r>
          </w:p>
        </w:tc>
      </w:tr>
      <w:tr w:rsidR="00D67815" w:rsidRPr="00485D1C" w14:paraId="2ABDF8A6" w14:textId="77777777" w:rsidTr="00AD1B26">
        <w:tblPrEx>
          <w:tblCellMar>
            <w:left w:w="108" w:type="dxa"/>
            <w:right w:w="108" w:type="dxa"/>
          </w:tblCellMar>
        </w:tblPrEx>
        <w:trPr>
          <w:jc w:val="center"/>
        </w:trPr>
        <w:tc>
          <w:tcPr>
            <w:tcW w:w="570" w:type="dxa"/>
          </w:tcPr>
          <w:p w14:paraId="6C60E547" w14:textId="7D11E59E" w:rsidR="00D67815" w:rsidRPr="00EC247F" w:rsidRDefault="00741A16" w:rsidP="00702435">
            <w:pPr>
              <w:rPr>
                <w:lang w:val="lt-LT"/>
              </w:rPr>
            </w:pPr>
            <w:r w:rsidRPr="00EC247F">
              <w:rPr>
                <w:lang w:val="lt-LT"/>
              </w:rPr>
              <w:lastRenderedPageBreak/>
              <w:t>3</w:t>
            </w:r>
            <w:r w:rsidR="00702435">
              <w:rPr>
                <w:lang w:val="lt-LT"/>
              </w:rPr>
              <w:t>1</w:t>
            </w:r>
            <w:r w:rsidR="00D67815" w:rsidRPr="00EC247F">
              <w:rPr>
                <w:lang w:val="lt-LT"/>
              </w:rPr>
              <w:t>.</w:t>
            </w:r>
          </w:p>
        </w:tc>
        <w:tc>
          <w:tcPr>
            <w:tcW w:w="3115" w:type="dxa"/>
          </w:tcPr>
          <w:p w14:paraId="5C48BE5E" w14:textId="0EFE6435" w:rsidR="00D67815" w:rsidRPr="00EC247F" w:rsidRDefault="00DE1C06" w:rsidP="008358B6">
            <w:pPr>
              <w:rPr>
                <w:lang w:val="lt-LT"/>
              </w:rPr>
            </w:pPr>
            <w:r>
              <w:rPr>
                <w:lang w:val="lt-LT"/>
              </w:rPr>
              <w:t>Socialinę pašalpą gaunančių šeimų</w:t>
            </w:r>
            <w:r w:rsidR="00D67815" w:rsidRPr="00EC247F">
              <w:rPr>
                <w:lang w:val="lt-LT"/>
              </w:rPr>
              <w:t>, kurias sudaro tik vienas iš tėvų ir jo vaikai</w:t>
            </w:r>
            <w:r>
              <w:rPr>
                <w:szCs w:val="20"/>
                <w:lang w:val="lt-LT"/>
              </w:rPr>
              <w:t xml:space="preserve">, dalis, </w:t>
            </w:r>
            <w:r w:rsidRPr="00DE1C06">
              <w:rPr>
                <w:lang w:val="lt-LT"/>
              </w:rPr>
              <w:t>palyginti su visomis socialinę pašalpą gaunančiomis šeimomis</w:t>
            </w:r>
          </w:p>
        </w:tc>
        <w:tc>
          <w:tcPr>
            <w:tcW w:w="2340" w:type="dxa"/>
          </w:tcPr>
          <w:p w14:paraId="6DBBF370" w14:textId="77777777" w:rsidR="00D67815" w:rsidRPr="00EC247F" w:rsidRDefault="00D67815" w:rsidP="00BF5DFB">
            <w:pPr>
              <w:rPr>
                <w:lang w:val="lt-LT"/>
              </w:rPr>
            </w:pPr>
            <w:r w:rsidRPr="00EC247F">
              <w:rPr>
                <w:lang w:val="lt-LT"/>
              </w:rPr>
              <w:t xml:space="preserve">Savivaldybės </w:t>
            </w:r>
          </w:p>
          <w:p w14:paraId="5E7700FA" w14:textId="77777777" w:rsidR="00D67815" w:rsidRPr="00EC247F" w:rsidRDefault="00D67815" w:rsidP="00BF5DFB">
            <w:pPr>
              <w:rPr>
                <w:lang w:val="lt-LT"/>
              </w:rPr>
            </w:pPr>
          </w:p>
        </w:tc>
        <w:tc>
          <w:tcPr>
            <w:tcW w:w="1727" w:type="dxa"/>
          </w:tcPr>
          <w:p w14:paraId="166D693D" w14:textId="270A9399" w:rsidR="00D67815" w:rsidRPr="00EC247F" w:rsidRDefault="00DE1C06" w:rsidP="00BF5DFB">
            <w:pPr>
              <w:rPr>
                <w:lang w:val="lt-LT"/>
              </w:rPr>
            </w:pPr>
            <w:r>
              <w:rPr>
                <w:lang w:val="lt-LT"/>
              </w:rPr>
              <w:t>Naujas rodiklis</w:t>
            </w:r>
          </w:p>
        </w:tc>
        <w:tc>
          <w:tcPr>
            <w:tcW w:w="1243" w:type="dxa"/>
            <w:gridSpan w:val="2"/>
          </w:tcPr>
          <w:p w14:paraId="7E6B0AA5" w14:textId="284084CA" w:rsidR="00713BAA" w:rsidRPr="00EC247F" w:rsidRDefault="00D67815" w:rsidP="00BF5DFB">
            <w:pPr>
              <w:rPr>
                <w:lang w:val="lt-LT"/>
              </w:rPr>
            </w:pPr>
            <w:r w:rsidRPr="00EC247F">
              <w:rPr>
                <w:lang w:val="lt-LT"/>
              </w:rPr>
              <w:t>SADM</w:t>
            </w:r>
          </w:p>
          <w:p w14:paraId="6B8452B3" w14:textId="77777777" w:rsidR="00D67815" w:rsidRPr="00EC247F" w:rsidRDefault="00F74DEB" w:rsidP="00BF5DFB">
            <w:pPr>
              <w:rPr>
                <w:lang w:val="lt-LT"/>
              </w:rPr>
            </w:pPr>
            <w:r w:rsidRPr="00EC247F">
              <w:rPr>
                <w:lang w:val="lt-LT"/>
              </w:rPr>
              <w:t>(</w:t>
            </w:r>
            <w:r w:rsidR="00D67815" w:rsidRPr="00EC247F">
              <w:rPr>
                <w:lang w:val="lt-LT"/>
              </w:rPr>
              <w:t>SPIS</w:t>
            </w:r>
            <w:r w:rsidRPr="00EC247F">
              <w:rPr>
                <w:lang w:val="lt-LT"/>
              </w:rPr>
              <w:t xml:space="preserve">) </w:t>
            </w:r>
          </w:p>
        </w:tc>
        <w:tc>
          <w:tcPr>
            <w:tcW w:w="6750" w:type="dxa"/>
          </w:tcPr>
          <w:p w14:paraId="4E65997C" w14:textId="59CF654D" w:rsidR="00D67815" w:rsidRPr="00EC247F" w:rsidRDefault="008D2697" w:rsidP="008358B6">
            <w:pPr>
              <w:rPr>
                <w:lang w:val="lt-LT"/>
              </w:rPr>
            </w:pPr>
            <w:r w:rsidRPr="00EC247F">
              <w:rPr>
                <w:lang w:val="lt-LT"/>
              </w:rPr>
              <w:t xml:space="preserve">Rodiklis parodo, </w:t>
            </w:r>
            <w:r w:rsidR="008358B6" w:rsidRPr="00EC247F">
              <w:rPr>
                <w:lang w:val="lt-LT"/>
              </w:rPr>
              <w:t xml:space="preserve">kokia procentinė dalis šeimų, </w:t>
            </w:r>
            <w:r w:rsidRPr="00EC247F">
              <w:rPr>
                <w:lang w:val="lt-LT"/>
              </w:rPr>
              <w:t xml:space="preserve">kurias sudaro tik vienas iš tėvų ir jo vaikai, </w:t>
            </w:r>
            <w:r w:rsidR="008358B6" w:rsidRPr="00EC247F">
              <w:rPr>
                <w:lang w:val="lt-LT"/>
              </w:rPr>
              <w:t>gauna socialinę pašalpą</w:t>
            </w:r>
            <w:r w:rsidR="00DE1C06">
              <w:rPr>
                <w:lang w:val="lt-LT"/>
              </w:rPr>
              <w:t xml:space="preserve"> (lyginant su visomis socialinę pašalpą gaunančiomis šeimomis)</w:t>
            </w:r>
            <w:r w:rsidR="008358B6" w:rsidRPr="00EC247F">
              <w:rPr>
                <w:lang w:val="lt-LT"/>
              </w:rPr>
              <w:t xml:space="preserve">. Rodiklis netapatus, bet artimas rodikliui </w:t>
            </w:r>
            <w:r w:rsidR="00F36F48" w:rsidRPr="00EC247F">
              <w:rPr>
                <w:lang w:val="lt-LT"/>
              </w:rPr>
              <w:t>„S</w:t>
            </w:r>
            <w:r w:rsidR="008358B6" w:rsidRPr="00EC247F">
              <w:rPr>
                <w:lang w:val="lt-LT"/>
              </w:rPr>
              <w:t>kurdą patirti rizikuojantys namų ūkiai, kuriuos sudaro tik vienas iš tėvų ir jo vaikai</w:t>
            </w:r>
            <w:r w:rsidR="00F36F48" w:rsidRPr="00EC247F">
              <w:rPr>
                <w:lang w:val="lt-LT"/>
              </w:rPr>
              <w:t>“</w:t>
            </w:r>
            <w:r w:rsidR="008358B6" w:rsidRPr="00EC247F">
              <w:rPr>
                <w:lang w:val="lt-LT"/>
              </w:rPr>
              <w:t>, kuris įtrauktas į EK 2016-2019 m. Strateginių įsipareigojimų užtikrinti lyčių lygybę aktualių</w:t>
            </w:r>
            <w:r w:rsidR="00F36F48" w:rsidRPr="00EC247F">
              <w:rPr>
                <w:lang w:val="lt-LT"/>
              </w:rPr>
              <w:t xml:space="preserve"> rodiklių</w:t>
            </w:r>
            <w:r w:rsidR="008358B6" w:rsidRPr="00EC247F">
              <w:rPr>
                <w:lang w:val="lt-LT"/>
              </w:rPr>
              <w:t xml:space="preserve"> sąrašą</w:t>
            </w:r>
            <w:r w:rsidR="008358B6" w:rsidRPr="00EC247F">
              <w:rPr>
                <w:vertAlign w:val="superscript"/>
                <w:lang w:val="lt-LT"/>
              </w:rPr>
              <w:footnoteReference w:id="65"/>
            </w:r>
            <w:r w:rsidR="008358B6" w:rsidRPr="00EC247F">
              <w:rPr>
                <w:lang w:val="lt-LT"/>
              </w:rPr>
              <w:t>.</w:t>
            </w:r>
            <w:r w:rsidR="00196383" w:rsidRPr="00EC247F">
              <w:rPr>
                <w:lang w:val="lt-LT"/>
              </w:rPr>
              <w:t xml:space="preserve"> Teisę gauti piniginę socialinę paramą turi šeima arba vienas gyvenantis asmuo, kurių turimo turto vertė neviršija turto vertės normatyvo; pajamos yra mažesnės už valstybės remiamas pajamas (VRP – 102 Eur) bendrai gyvenantiems asmenims arba vienam gyvenančiam asmeniui</w:t>
            </w:r>
            <w:r w:rsidR="00196383" w:rsidRPr="00EC247F">
              <w:rPr>
                <w:rStyle w:val="FootnoteReference"/>
                <w:lang w:val="lt-LT"/>
              </w:rPr>
              <w:footnoteReference w:id="66"/>
            </w:r>
            <w:r w:rsidR="00196383" w:rsidRPr="00EC247F">
              <w:rPr>
                <w:lang w:val="lt-LT"/>
              </w:rPr>
              <w:t>.</w:t>
            </w:r>
          </w:p>
        </w:tc>
      </w:tr>
      <w:tr w:rsidR="00A974AE" w:rsidRPr="00EC247F" w14:paraId="5DF53505" w14:textId="77777777" w:rsidTr="00AD1B26">
        <w:trPr>
          <w:jc w:val="center"/>
        </w:trPr>
        <w:tc>
          <w:tcPr>
            <w:tcW w:w="570" w:type="dxa"/>
          </w:tcPr>
          <w:p w14:paraId="334F1883" w14:textId="77777777" w:rsidR="00A974AE" w:rsidRPr="00EC247F" w:rsidRDefault="00A974AE" w:rsidP="0004057F">
            <w:pPr>
              <w:rPr>
                <w:b/>
                <w:lang w:val="lt-LT"/>
              </w:rPr>
            </w:pPr>
          </w:p>
        </w:tc>
        <w:tc>
          <w:tcPr>
            <w:tcW w:w="15175" w:type="dxa"/>
            <w:gridSpan w:val="6"/>
          </w:tcPr>
          <w:p w14:paraId="7C6C3333" w14:textId="77777777" w:rsidR="00A974AE" w:rsidRPr="00EC247F" w:rsidRDefault="00A974AE" w:rsidP="008F32C9">
            <w:pPr>
              <w:jc w:val="center"/>
              <w:rPr>
                <w:b/>
                <w:lang w:val="lt-LT"/>
              </w:rPr>
            </w:pPr>
            <w:r w:rsidRPr="00EC247F">
              <w:rPr>
                <w:b/>
                <w:lang w:val="lt-LT"/>
              </w:rPr>
              <w:t>Valdžia ir sprendimų priėmimas</w:t>
            </w:r>
          </w:p>
        </w:tc>
      </w:tr>
      <w:tr w:rsidR="00D67815" w:rsidRPr="00485D1C" w14:paraId="4D9057D4" w14:textId="77777777" w:rsidTr="00AD1B26">
        <w:trPr>
          <w:jc w:val="center"/>
        </w:trPr>
        <w:tc>
          <w:tcPr>
            <w:tcW w:w="570" w:type="dxa"/>
            <w:tcBorders>
              <w:bottom w:val="single" w:sz="4" w:space="0" w:color="auto"/>
            </w:tcBorders>
          </w:tcPr>
          <w:p w14:paraId="22FFE6A5" w14:textId="2BDB3BEF" w:rsidR="00D67815" w:rsidRPr="00EC247F" w:rsidRDefault="00D67815" w:rsidP="00702435">
            <w:pPr>
              <w:rPr>
                <w:lang w:val="lt-LT"/>
              </w:rPr>
            </w:pPr>
            <w:r w:rsidRPr="00EC247F">
              <w:rPr>
                <w:lang w:val="lt-LT"/>
              </w:rPr>
              <w:t>3</w:t>
            </w:r>
            <w:r w:rsidR="00702435">
              <w:rPr>
                <w:lang w:val="lt-LT"/>
              </w:rPr>
              <w:t>2</w:t>
            </w:r>
            <w:r w:rsidRPr="00EC247F">
              <w:rPr>
                <w:lang w:val="lt-LT"/>
              </w:rPr>
              <w:t>.</w:t>
            </w:r>
          </w:p>
        </w:tc>
        <w:tc>
          <w:tcPr>
            <w:tcW w:w="3115" w:type="dxa"/>
            <w:tcBorders>
              <w:bottom w:val="single" w:sz="4" w:space="0" w:color="auto"/>
            </w:tcBorders>
          </w:tcPr>
          <w:p w14:paraId="4E401C03" w14:textId="77777777" w:rsidR="00D67815" w:rsidRPr="00EC247F" w:rsidRDefault="00D67815" w:rsidP="00695B8A">
            <w:pPr>
              <w:rPr>
                <w:lang w:val="lt-LT"/>
              </w:rPr>
            </w:pPr>
            <w:r w:rsidRPr="00EC247F">
              <w:rPr>
                <w:lang w:val="lt-LT"/>
              </w:rPr>
              <w:t>Kandidatai į savivaldybės tarybos narius</w:t>
            </w:r>
          </w:p>
        </w:tc>
        <w:tc>
          <w:tcPr>
            <w:tcW w:w="2340" w:type="dxa"/>
          </w:tcPr>
          <w:p w14:paraId="0C7F714A" w14:textId="77777777" w:rsidR="00704765" w:rsidRPr="00EC247F" w:rsidRDefault="00704765" w:rsidP="00704765">
            <w:pPr>
              <w:rPr>
                <w:lang w:val="lt-LT"/>
              </w:rPr>
            </w:pPr>
            <w:r w:rsidRPr="00EC247F">
              <w:rPr>
                <w:lang w:val="lt-LT"/>
              </w:rPr>
              <w:t>Lytis</w:t>
            </w:r>
          </w:p>
          <w:p w14:paraId="1029E154" w14:textId="77777777" w:rsidR="00D67815" w:rsidRPr="00EC247F" w:rsidRDefault="00704765" w:rsidP="00704765">
            <w:pPr>
              <w:rPr>
                <w:lang w:val="lt-LT"/>
              </w:rPr>
            </w:pPr>
            <w:r w:rsidRPr="00EC247F">
              <w:rPr>
                <w:lang w:val="lt-LT"/>
              </w:rPr>
              <w:t>Savivaldybės</w:t>
            </w:r>
          </w:p>
          <w:p w14:paraId="31B604E5" w14:textId="37B1A695" w:rsidR="00154AB2" w:rsidRPr="00EC247F" w:rsidRDefault="00154AB2" w:rsidP="00704765">
            <w:pPr>
              <w:rPr>
                <w:lang w:val="lt-LT"/>
              </w:rPr>
            </w:pPr>
            <w:r w:rsidRPr="00EC247F">
              <w:rPr>
                <w:lang w:val="lt-LT"/>
              </w:rPr>
              <w:t>Matavimo vienetai</w:t>
            </w:r>
            <w:r w:rsidR="00330A15">
              <w:rPr>
                <w:lang w:val="lt-LT"/>
              </w:rPr>
              <w:t xml:space="preserve">: </w:t>
            </w:r>
          </w:p>
          <w:p w14:paraId="2EE69391" w14:textId="18462039" w:rsidR="00154AB2" w:rsidRPr="00EC247F" w:rsidRDefault="00154AB2" w:rsidP="00704765">
            <w:pPr>
              <w:rPr>
                <w:lang w:val="lt-LT"/>
              </w:rPr>
            </w:pPr>
            <w:r w:rsidRPr="00EC247F">
              <w:rPr>
                <w:lang w:val="lt-LT"/>
              </w:rPr>
              <w:t>a) procentais; b) 1 tūkst. t</w:t>
            </w:r>
            <w:r w:rsidR="00330A15">
              <w:rPr>
                <w:lang w:val="lt-LT"/>
              </w:rPr>
              <w:t>enka savivaldybėje gyvenančių moterų ir vy</w:t>
            </w:r>
            <w:r w:rsidRPr="00EC247F">
              <w:rPr>
                <w:lang w:val="lt-LT"/>
              </w:rPr>
              <w:t>rų</w:t>
            </w:r>
          </w:p>
        </w:tc>
        <w:tc>
          <w:tcPr>
            <w:tcW w:w="1727" w:type="dxa"/>
          </w:tcPr>
          <w:p w14:paraId="5EB7FB5D" w14:textId="2D2AB0E9" w:rsidR="00D67815" w:rsidRPr="00EC247F" w:rsidRDefault="008D1FE0" w:rsidP="00695B8A">
            <w:pPr>
              <w:rPr>
                <w:lang w:val="lt-LT"/>
              </w:rPr>
            </w:pPr>
            <w:r w:rsidRPr="008D1FE0">
              <w:rPr>
                <w:lang w:val="lt-LT"/>
              </w:rPr>
              <w:t>Naujas rodiklis</w:t>
            </w:r>
          </w:p>
        </w:tc>
        <w:tc>
          <w:tcPr>
            <w:tcW w:w="1243" w:type="dxa"/>
            <w:gridSpan w:val="2"/>
          </w:tcPr>
          <w:p w14:paraId="533308E2" w14:textId="77777777" w:rsidR="00D67815" w:rsidRPr="00EC247F" w:rsidRDefault="00D67815" w:rsidP="00695B8A">
            <w:pPr>
              <w:rPr>
                <w:lang w:val="lt-LT"/>
              </w:rPr>
            </w:pPr>
            <w:r w:rsidRPr="00EC247F">
              <w:rPr>
                <w:lang w:val="lt-LT"/>
              </w:rPr>
              <w:t>VRK</w:t>
            </w:r>
          </w:p>
        </w:tc>
        <w:tc>
          <w:tcPr>
            <w:tcW w:w="6750" w:type="dxa"/>
          </w:tcPr>
          <w:p w14:paraId="67E8A7BB" w14:textId="6AF46AFE" w:rsidR="00D67815" w:rsidRPr="00EC247F" w:rsidRDefault="00154AB2" w:rsidP="005E4762">
            <w:pPr>
              <w:rPr>
                <w:lang w:val="lt-LT"/>
              </w:rPr>
            </w:pPr>
            <w:r w:rsidRPr="00EC247F">
              <w:rPr>
                <w:lang w:val="lt-LT"/>
              </w:rPr>
              <w:t xml:space="preserve">a) </w:t>
            </w:r>
            <w:r w:rsidR="00794371" w:rsidRPr="00EC247F">
              <w:rPr>
                <w:lang w:val="lt-LT"/>
              </w:rPr>
              <w:t xml:space="preserve">Moterų ir vyrų proporcija </w:t>
            </w:r>
            <w:r w:rsidR="00704765" w:rsidRPr="00EC247F">
              <w:rPr>
                <w:lang w:val="lt-LT"/>
              </w:rPr>
              <w:t xml:space="preserve">(procentais) </w:t>
            </w:r>
            <w:r w:rsidR="005E4762" w:rsidRPr="00EC247F">
              <w:rPr>
                <w:lang w:val="lt-LT"/>
              </w:rPr>
              <w:t>tarp kandidatų į savivaldybės tarybos narius.</w:t>
            </w:r>
          </w:p>
          <w:p w14:paraId="6377A4C5" w14:textId="3F84B717" w:rsidR="00154AB2" w:rsidRPr="00EC247F" w:rsidRDefault="00154AB2" w:rsidP="00154AB2">
            <w:pPr>
              <w:rPr>
                <w:lang w:val="lt-LT"/>
              </w:rPr>
            </w:pPr>
            <w:r w:rsidRPr="00EC247F">
              <w:rPr>
                <w:lang w:val="lt-LT"/>
              </w:rPr>
              <w:t xml:space="preserve">b) </w:t>
            </w:r>
            <w:r w:rsidR="00794371" w:rsidRPr="00EC247F">
              <w:rPr>
                <w:lang w:val="lt-LT"/>
              </w:rPr>
              <w:t>M</w:t>
            </w:r>
            <w:r w:rsidRPr="00EC247F">
              <w:rPr>
                <w:lang w:val="lt-LT"/>
              </w:rPr>
              <w:t xml:space="preserve">oterų ir vyrų kandidatų į savivaldybės tarybos narius </w:t>
            </w:r>
            <w:r w:rsidR="00794371" w:rsidRPr="00EC247F">
              <w:rPr>
                <w:lang w:val="lt-LT"/>
              </w:rPr>
              <w:t xml:space="preserve">skaičius, </w:t>
            </w:r>
            <w:r w:rsidRPr="00EC247F">
              <w:rPr>
                <w:lang w:val="lt-LT"/>
              </w:rPr>
              <w:t>tenka</w:t>
            </w:r>
            <w:r w:rsidR="00794371" w:rsidRPr="00EC247F">
              <w:rPr>
                <w:lang w:val="lt-LT"/>
              </w:rPr>
              <w:t>ntis</w:t>
            </w:r>
            <w:r w:rsidRPr="00EC247F">
              <w:rPr>
                <w:lang w:val="lt-LT"/>
              </w:rPr>
              <w:t xml:space="preserve"> 1 tūkst. </w:t>
            </w:r>
            <w:r w:rsidR="00E20BE9" w:rsidRPr="00EC247F">
              <w:rPr>
                <w:lang w:val="lt-LT"/>
              </w:rPr>
              <w:t xml:space="preserve">18 metų ir vyresnių </w:t>
            </w:r>
            <w:r w:rsidR="00330A15">
              <w:rPr>
                <w:lang w:val="lt-LT"/>
              </w:rPr>
              <w:t>savivaldybėje gyvenančių moterų ir vy</w:t>
            </w:r>
            <w:r w:rsidRPr="00EC247F">
              <w:rPr>
                <w:lang w:val="lt-LT"/>
              </w:rPr>
              <w:t>rų.</w:t>
            </w:r>
          </w:p>
          <w:p w14:paraId="7FF912B9" w14:textId="77777777" w:rsidR="00772337" w:rsidRPr="00EC247F" w:rsidRDefault="00772337" w:rsidP="00154AB2">
            <w:pPr>
              <w:rPr>
                <w:lang w:val="lt-LT"/>
              </w:rPr>
            </w:pPr>
          </w:p>
          <w:p w14:paraId="11503866" w14:textId="207818BD" w:rsidR="004523A5" w:rsidRPr="00EC247F" w:rsidRDefault="00BA78E1" w:rsidP="00BA78E1">
            <w:pPr>
              <w:rPr>
                <w:lang w:val="lt-LT"/>
              </w:rPr>
            </w:pPr>
            <w:r w:rsidRPr="00EC247F">
              <w:rPr>
                <w:lang w:val="lt-LT"/>
              </w:rPr>
              <w:t>Nuolatinis moterų išstūmimas į politikos paraštes yra ydingas ne tik dėl keliamų abejonių praktikuojamos demokratijos veiksmingumu</w:t>
            </w:r>
            <w:r w:rsidRPr="00EC247F">
              <w:rPr>
                <w:rStyle w:val="FootnoteReference"/>
                <w:lang w:val="lt-LT"/>
              </w:rPr>
              <w:footnoteReference w:id="67"/>
            </w:r>
            <w:r w:rsidRPr="00EC247F">
              <w:rPr>
                <w:lang w:val="lt-LT"/>
              </w:rPr>
              <w:t xml:space="preserve">, bet ir priimamų sprendimų kokybės. Todėl </w:t>
            </w:r>
            <w:r w:rsidRPr="00EC247F">
              <w:rPr>
                <w:lang w:val="lt-LT"/>
              </w:rPr>
              <w:lastRenderedPageBreak/>
              <w:t xml:space="preserve">savivaldybių tarybų sudėtis turėtų būti kaip galima labiau subalansuota lyčių aspektu. </w:t>
            </w:r>
            <w:r w:rsidR="00794371" w:rsidRPr="00EC247F">
              <w:rPr>
                <w:lang w:val="lt-LT"/>
              </w:rPr>
              <w:t>Rodiklis</w:t>
            </w:r>
            <w:r w:rsidR="00772337" w:rsidRPr="00EC247F">
              <w:rPr>
                <w:lang w:val="lt-LT"/>
              </w:rPr>
              <w:t xml:space="preserve"> leidžia daryti įžvalgas apie konkrečioje savivaldybėje kuriamas</w:t>
            </w:r>
            <w:r w:rsidR="00E02D70" w:rsidRPr="00EC247F">
              <w:rPr>
                <w:lang w:val="lt-LT"/>
              </w:rPr>
              <w:t xml:space="preserve"> sąlygas</w:t>
            </w:r>
            <w:r w:rsidR="00215D89">
              <w:rPr>
                <w:lang w:val="lt-LT"/>
              </w:rPr>
              <w:t xml:space="preserve"> i</w:t>
            </w:r>
            <w:r w:rsidR="00E02D70" w:rsidRPr="00EC247F">
              <w:rPr>
                <w:lang w:val="lt-LT"/>
              </w:rPr>
              <w:t>r politinį įsipareigojimą</w:t>
            </w:r>
            <w:r w:rsidR="00772337" w:rsidRPr="00EC247F">
              <w:rPr>
                <w:lang w:val="lt-LT"/>
              </w:rPr>
              <w:t xml:space="preserve"> </w:t>
            </w:r>
            <w:r w:rsidR="00CF0787" w:rsidRPr="00EC247F">
              <w:rPr>
                <w:lang w:val="lt-LT"/>
              </w:rPr>
              <w:t xml:space="preserve">tiek </w:t>
            </w:r>
            <w:r w:rsidR="00772337" w:rsidRPr="00EC247F">
              <w:rPr>
                <w:lang w:val="lt-LT"/>
              </w:rPr>
              <w:t>moterims</w:t>
            </w:r>
            <w:r w:rsidR="00CF0787" w:rsidRPr="00EC247F">
              <w:rPr>
                <w:lang w:val="lt-LT"/>
              </w:rPr>
              <w:t>, tiek</w:t>
            </w:r>
            <w:r w:rsidR="00772337" w:rsidRPr="00EC247F">
              <w:rPr>
                <w:lang w:val="lt-LT"/>
              </w:rPr>
              <w:t xml:space="preserve"> vyrams dalyvauti fo</w:t>
            </w:r>
            <w:r w:rsidR="00AB4C6B">
              <w:rPr>
                <w:lang w:val="lt-LT"/>
              </w:rPr>
              <w:t xml:space="preserve">rmuojant politiką vietos lygiu. </w:t>
            </w:r>
          </w:p>
        </w:tc>
      </w:tr>
      <w:tr w:rsidR="00D67815" w:rsidRPr="00485D1C" w14:paraId="3374EF64" w14:textId="77777777" w:rsidTr="00AD1B26">
        <w:trPr>
          <w:jc w:val="center"/>
        </w:trPr>
        <w:tc>
          <w:tcPr>
            <w:tcW w:w="570" w:type="dxa"/>
            <w:shd w:val="clear" w:color="auto" w:fill="FFFFFF" w:themeFill="background1"/>
          </w:tcPr>
          <w:p w14:paraId="35863164" w14:textId="027B8F0C" w:rsidR="00D67815" w:rsidRPr="00EC247F" w:rsidRDefault="00D67815" w:rsidP="00741A16">
            <w:pPr>
              <w:rPr>
                <w:lang w:val="lt-LT"/>
              </w:rPr>
            </w:pPr>
            <w:r w:rsidRPr="00EC247F">
              <w:rPr>
                <w:lang w:val="lt-LT"/>
              </w:rPr>
              <w:lastRenderedPageBreak/>
              <w:t>3</w:t>
            </w:r>
            <w:r w:rsidR="00702435">
              <w:rPr>
                <w:lang w:val="lt-LT"/>
              </w:rPr>
              <w:t>3</w:t>
            </w:r>
            <w:r w:rsidRPr="00EC247F">
              <w:rPr>
                <w:lang w:val="lt-LT"/>
              </w:rPr>
              <w:t>.</w:t>
            </w:r>
          </w:p>
        </w:tc>
        <w:tc>
          <w:tcPr>
            <w:tcW w:w="3115" w:type="dxa"/>
            <w:shd w:val="clear" w:color="auto" w:fill="FFFFFF" w:themeFill="background1"/>
          </w:tcPr>
          <w:p w14:paraId="782186D7" w14:textId="77777777" w:rsidR="00D67815" w:rsidRPr="00EC247F" w:rsidRDefault="00D67815" w:rsidP="00695B8A">
            <w:pPr>
              <w:rPr>
                <w:lang w:val="lt-LT"/>
              </w:rPr>
            </w:pPr>
            <w:r w:rsidRPr="00EC247F">
              <w:rPr>
                <w:lang w:val="lt-LT"/>
              </w:rPr>
              <w:t>Išrinkta savivaldybių tarybų narių (gauta mandatų)</w:t>
            </w:r>
          </w:p>
        </w:tc>
        <w:tc>
          <w:tcPr>
            <w:tcW w:w="2340" w:type="dxa"/>
          </w:tcPr>
          <w:p w14:paraId="393EEB2E" w14:textId="77777777" w:rsidR="00D67815" w:rsidRPr="00EC247F" w:rsidRDefault="00D67815" w:rsidP="00D6656C">
            <w:pPr>
              <w:rPr>
                <w:lang w:val="lt-LT"/>
              </w:rPr>
            </w:pPr>
            <w:r w:rsidRPr="00EC247F">
              <w:rPr>
                <w:lang w:val="lt-LT"/>
              </w:rPr>
              <w:t>Lytis</w:t>
            </w:r>
          </w:p>
          <w:p w14:paraId="3DD10DF7" w14:textId="77777777" w:rsidR="00D67815" w:rsidRPr="00EC247F" w:rsidRDefault="00D67815" w:rsidP="00D6656C">
            <w:pPr>
              <w:rPr>
                <w:lang w:val="lt-LT"/>
              </w:rPr>
            </w:pPr>
            <w:r w:rsidRPr="00EC247F">
              <w:rPr>
                <w:lang w:val="lt-LT"/>
              </w:rPr>
              <w:t>Savivaldybės</w:t>
            </w:r>
          </w:p>
          <w:p w14:paraId="75D2D052" w14:textId="58602FEF" w:rsidR="00154AB2" w:rsidRPr="00EC247F" w:rsidRDefault="00154AB2" w:rsidP="00154AB2">
            <w:pPr>
              <w:rPr>
                <w:lang w:val="lt-LT"/>
              </w:rPr>
            </w:pPr>
            <w:r w:rsidRPr="00EC247F">
              <w:rPr>
                <w:lang w:val="lt-LT"/>
              </w:rPr>
              <w:t>Matavimo vienetai</w:t>
            </w:r>
            <w:r w:rsidR="00A3300F">
              <w:rPr>
                <w:lang w:val="lt-LT"/>
              </w:rPr>
              <w:t xml:space="preserve">: </w:t>
            </w:r>
          </w:p>
          <w:p w14:paraId="338ECD2E" w14:textId="53448040" w:rsidR="00154AB2" w:rsidRPr="00EC247F" w:rsidRDefault="00154AB2" w:rsidP="00154AB2">
            <w:pPr>
              <w:rPr>
                <w:lang w:val="lt-LT"/>
              </w:rPr>
            </w:pPr>
            <w:r w:rsidRPr="00EC247F">
              <w:rPr>
                <w:lang w:val="lt-LT"/>
              </w:rPr>
              <w:t xml:space="preserve">a) procentais; b) 1 tūkst. tenka savivaldybėje gyvenančių </w:t>
            </w:r>
            <w:r w:rsidR="00A3300F">
              <w:rPr>
                <w:lang w:val="lt-LT"/>
              </w:rPr>
              <w:t>moterų ir vy</w:t>
            </w:r>
            <w:r w:rsidR="00A3300F" w:rsidRPr="00EC247F">
              <w:rPr>
                <w:lang w:val="lt-LT"/>
              </w:rPr>
              <w:t>rų</w:t>
            </w:r>
            <w:r w:rsidR="00A3300F">
              <w:rPr>
                <w:lang w:val="lt-LT"/>
              </w:rPr>
              <w:t xml:space="preserve"> </w:t>
            </w:r>
          </w:p>
        </w:tc>
        <w:tc>
          <w:tcPr>
            <w:tcW w:w="1727" w:type="dxa"/>
          </w:tcPr>
          <w:p w14:paraId="08622D10" w14:textId="2D0B597B" w:rsidR="00D67815" w:rsidRPr="00EC247F" w:rsidRDefault="008D1FE0" w:rsidP="00695B8A">
            <w:pPr>
              <w:rPr>
                <w:lang w:val="lt-LT"/>
              </w:rPr>
            </w:pPr>
            <w:r>
              <w:rPr>
                <w:lang w:val="lt-LT"/>
              </w:rPr>
              <w:t>Dalinai skelbiama (pateikiami absoliutūs sk.)</w:t>
            </w:r>
          </w:p>
        </w:tc>
        <w:tc>
          <w:tcPr>
            <w:tcW w:w="1243" w:type="dxa"/>
            <w:gridSpan w:val="2"/>
          </w:tcPr>
          <w:p w14:paraId="39678000" w14:textId="77777777" w:rsidR="00D67815" w:rsidRPr="00EC247F" w:rsidRDefault="00D67815" w:rsidP="00695B8A">
            <w:pPr>
              <w:rPr>
                <w:lang w:val="lt-LT"/>
              </w:rPr>
            </w:pPr>
            <w:r w:rsidRPr="00EC247F">
              <w:rPr>
                <w:lang w:val="lt-LT"/>
              </w:rPr>
              <w:t>VRK</w:t>
            </w:r>
          </w:p>
        </w:tc>
        <w:tc>
          <w:tcPr>
            <w:tcW w:w="6750" w:type="dxa"/>
          </w:tcPr>
          <w:p w14:paraId="52A65AE3" w14:textId="04F62AAF" w:rsidR="00D67815" w:rsidRPr="00EC247F" w:rsidRDefault="00154AB2" w:rsidP="00704765">
            <w:pPr>
              <w:rPr>
                <w:lang w:val="lt-LT"/>
              </w:rPr>
            </w:pPr>
            <w:r w:rsidRPr="00EC247F">
              <w:rPr>
                <w:lang w:val="lt-LT"/>
              </w:rPr>
              <w:t xml:space="preserve">a) </w:t>
            </w:r>
            <w:r w:rsidR="00794371" w:rsidRPr="00EC247F">
              <w:rPr>
                <w:lang w:val="lt-LT"/>
              </w:rPr>
              <w:t>M</w:t>
            </w:r>
            <w:r w:rsidR="00704765" w:rsidRPr="00EC247F">
              <w:rPr>
                <w:lang w:val="lt-LT"/>
              </w:rPr>
              <w:t xml:space="preserve">oterų </w:t>
            </w:r>
            <w:r w:rsidR="00794371" w:rsidRPr="00EC247F">
              <w:rPr>
                <w:lang w:val="lt-LT"/>
              </w:rPr>
              <w:t>ir vyrų proporcija</w:t>
            </w:r>
            <w:r w:rsidR="00704765" w:rsidRPr="00EC247F">
              <w:rPr>
                <w:lang w:val="lt-LT"/>
              </w:rPr>
              <w:t xml:space="preserve"> (procentais) tarp išrinktų savivaldybės tarybos narių.</w:t>
            </w:r>
          </w:p>
          <w:p w14:paraId="52F99CF7" w14:textId="5DF4EA21" w:rsidR="00154AB2" w:rsidRPr="00EC247F" w:rsidRDefault="004523A5" w:rsidP="00154AB2">
            <w:pPr>
              <w:rPr>
                <w:lang w:val="lt-LT"/>
              </w:rPr>
            </w:pPr>
            <w:r w:rsidRPr="00EC247F">
              <w:rPr>
                <w:lang w:val="lt-LT"/>
              </w:rPr>
              <w:t>b</w:t>
            </w:r>
            <w:r w:rsidR="00794371" w:rsidRPr="00EC247F">
              <w:rPr>
                <w:lang w:val="lt-LT"/>
              </w:rPr>
              <w:t>) M</w:t>
            </w:r>
            <w:r w:rsidR="00154AB2" w:rsidRPr="00EC247F">
              <w:rPr>
                <w:lang w:val="lt-LT"/>
              </w:rPr>
              <w:t xml:space="preserve">oterų ir vyrų tarp išrinktų savivaldybės tarybos narių </w:t>
            </w:r>
            <w:r w:rsidR="00794371" w:rsidRPr="00EC247F">
              <w:rPr>
                <w:lang w:val="lt-LT"/>
              </w:rPr>
              <w:t xml:space="preserve">skaičius, </w:t>
            </w:r>
            <w:r w:rsidR="00154AB2" w:rsidRPr="00EC247F">
              <w:rPr>
                <w:lang w:val="lt-LT"/>
              </w:rPr>
              <w:t>tenka</w:t>
            </w:r>
            <w:r w:rsidR="00794371" w:rsidRPr="00EC247F">
              <w:rPr>
                <w:lang w:val="lt-LT"/>
              </w:rPr>
              <w:t>ntis</w:t>
            </w:r>
            <w:r w:rsidR="00154AB2" w:rsidRPr="00EC247F">
              <w:rPr>
                <w:lang w:val="lt-LT"/>
              </w:rPr>
              <w:t xml:space="preserve"> 1 tūkst.</w:t>
            </w:r>
            <w:r w:rsidR="00E20BE9" w:rsidRPr="00EC247F">
              <w:rPr>
                <w:lang w:val="lt-LT"/>
              </w:rPr>
              <w:t xml:space="preserve"> 18 metų ir vyresnių</w:t>
            </w:r>
            <w:r w:rsidR="00154AB2" w:rsidRPr="00EC247F">
              <w:rPr>
                <w:lang w:val="lt-LT"/>
              </w:rPr>
              <w:t xml:space="preserve"> savivaldybėje gyvenančių </w:t>
            </w:r>
            <w:r w:rsidR="00A3300F">
              <w:rPr>
                <w:lang w:val="lt-LT"/>
              </w:rPr>
              <w:t>moterų ir vy</w:t>
            </w:r>
            <w:r w:rsidR="00A3300F" w:rsidRPr="00EC247F">
              <w:rPr>
                <w:lang w:val="lt-LT"/>
              </w:rPr>
              <w:t>rų</w:t>
            </w:r>
            <w:r w:rsidR="00154AB2" w:rsidRPr="00EC247F">
              <w:rPr>
                <w:lang w:val="lt-LT"/>
              </w:rPr>
              <w:t>.</w:t>
            </w:r>
            <w:r w:rsidR="00A3300F">
              <w:rPr>
                <w:lang w:val="lt-LT"/>
              </w:rPr>
              <w:t xml:space="preserve"> </w:t>
            </w:r>
          </w:p>
          <w:p w14:paraId="4D079C27" w14:textId="77777777" w:rsidR="00772337" w:rsidRPr="00EC247F" w:rsidRDefault="00772337" w:rsidP="00154AB2">
            <w:pPr>
              <w:rPr>
                <w:lang w:val="lt-LT"/>
              </w:rPr>
            </w:pPr>
          </w:p>
          <w:p w14:paraId="37FE57A4" w14:textId="361E19CD" w:rsidR="00772337" w:rsidRPr="00EC247F" w:rsidRDefault="00794371" w:rsidP="00A3300F">
            <w:pPr>
              <w:rPr>
                <w:lang w:val="lt-LT"/>
              </w:rPr>
            </w:pPr>
            <w:r w:rsidRPr="00EC247F">
              <w:rPr>
                <w:lang w:val="lt-LT"/>
              </w:rPr>
              <w:t>Rodiklis</w:t>
            </w:r>
            <w:r w:rsidR="00772337" w:rsidRPr="00EC247F">
              <w:rPr>
                <w:lang w:val="lt-LT"/>
              </w:rPr>
              <w:t xml:space="preserve"> leidžia daryti įžvalgas apie konkrečioje savivaldybėje kuriamas </w:t>
            </w:r>
            <w:r w:rsidR="00A3300F" w:rsidRPr="00EC247F">
              <w:rPr>
                <w:lang w:val="lt-LT"/>
              </w:rPr>
              <w:t>sąlygas</w:t>
            </w:r>
            <w:r w:rsidR="00A3300F">
              <w:rPr>
                <w:lang w:val="lt-LT"/>
              </w:rPr>
              <w:t xml:space="preserve"> i</w:t>
            </w:r>
            <w:r w:rsidR="00A3300F" w:rsidRPr="00EC247F">
              <w:rPr>
                <w:lang w:val="lt-LT"/>
              </w:rPr>
              <w:t>r politinį įsipareigojimą</w:t>
            </w:r>
            <w:r w:rsidR="00A3300F">
              <w:rPr>
                <w:lang w:val="lt-LT"/>
              </w:rPr>
              <w:t xml:space="preserve"> tiek</w:t>
            </w:r>
            <w:r w:rsidR="00772337" w:rsidRPr="00EC247F">
              <w:rPr>
                <w:lang w:val="lt-LT"/>
              </w:rPr>
              <w:t xml:space="preserve"> moterims</w:t>
            </w:r>
            <w:r w:rsidR="00A3300F">
              <w:rPr>
                <w:lang w:val="lt-LT"/>
              </w:rPr>
              <w:t xml:space="preserve">, tiek </w:t>
            </w:r>
            <w:r w:rsidR="00772337" w:rsidRPr="00EC247F">
              <w:rPr>
                <w:lang w:val="lt-LT"/>
              </w:rPr>
              <w:t>vyrams dalyvauti formuojant politiką vietos lygiu.</w:t>
            </w:r>
          </w:p>
        </w:tc>
      </w:tr>
      <w:tr w:rsidR="00D67815" w:rsidRPr="00485D1C" w14:paraId="2E917294" w14:textId="77777777" w:rsidTr="00AD1B26">
        <w:trPr>
          <w:jc w:val="center"/>
        </w:trPr>
        <w:tc>
          <w:tcPr>
            <w:tcW w:w="570" w:type="dxa"/>
          </w:tcPr>
          <w:p w14:paraId="2810ADBD" w14:textId="739C2502" w:rsidR="00D67815" w:rsidRPr="00EC247F" w:rsidRDefault="00D67815" w:rsidP="00702435">
            <w:pPr>
              <w:rPr>
                <w:lang w:val="lt-LT"/>
              </w:rPr>
            </w:pPr>
            <w:r w:rsidRPr="00EC247F">
              <w:rPr>
                <w:lang w:val="lt-LT"/>
              </w:rPr>
              <w:t>3</w:t>
            </w:r>
            <w:r w:rsidR="00702435">
              <w:rPr>
                <w:lang w:val="lt-LT"/>
              </w:rPr>
              <w:t>4</w:t>
            </w:r>
            <w:r w:rsidRPr="00EC247F">
              <w:rPr>
                <w:lang w:val="lt-LT"/>
              </w:rPr>
              <w:t>.</w:t>
            </w:r>
          </w:p>
        </w:tc>
        <w:tc>
          <w:tcPr>
            <w:tcW w:w="3115" w:type="dxa"/>
          </w:tcPr>
          <w:p w14:paraId="22E60068" w14:textId="77777777" w:rsidR="00D67815" w:rsidRPr="00EC247F" w:rsidRDefault="00D67815" w:rsidP="00695B8A">
            <w:pPr>
              <w:rPr>
                <w:lang w:val="lt-LT"/>
              </w:rPr>
            </w:pPr>
            <w:r w:rsidRPr="00EC247F">
              <w:rPr>
                <w:lang w:val="lt-LT"/>
              </w:rPr>
              <w:t>Kandidatai į savivaldybės mero postą</w:t>
            </w:r>
          </w:p>
        </w:tc>
        <w:tc>
          <w:tcPr>
            <w:tcW w:w="2340" w:type="dxa"/>
          </w:tcPr>
          <w:p w14:paraId="6CAA59F7" w14:textId="77777777" w:rsidR="00704765" w:rsidRPr="00EC247F" w:rsidRDefault="00704765" w:rsidP="00704765">
            <w:pPr>
              <w:rPr>
                <w:lang w:val="lt-LT"/>
              </w:rPr>
            </w:pPr>
            <w:r w:rsidRPr="00EC247F">
              <w:rPr>
                <w:lang w:val="lt-LT"/>
              </w:rPr>
              <w:t>Lytis</w:t>
            </w:r>
          </w:p>
          <w:p w14:paraId="5E4A3DCF" w14:textId="77777777" w:rsidR="00D67815" w:rsidRPr="00EC247F" w:rsidRDefault="00704765" w:rsidP="00704765">
            <w:pPr>
              <w:rPr>
                <w:lang w:val="lt-LT"/>
              </w:rPr>
            </w:pPr>
            <w:r w:rsidRPr="00EC247F">
              <w:rPr>
                <w:lang w:val="lt-LT"/>
              </w:rPr>
              <w:t>Savivaldybės</w:t>
            </w:r>
          </w:p>
        </w:tc>
        <w:tc>
          <w:tcPr>
            <w:tcW w:w="1727" w:type="dxa"/>
          </w:tcPr>
          <w:p w14:paraId="61320963" w14:textId="5A8A874C" w:rsidR="00D67815" w:rsidRPr="00EC247F" w:rsidRDefault="008D1FE0" w:rsidP="00695B8A">
            <w:pPr>
              <w:rPr>
                <w:lang w:val="lt-LT"/>
              </w:rPr>
            </w:pPr>
            <w:r w:rsidRPr="008D1FE0">
              <w:rPr>
                <w:lang w:val="lt-LT"/>
              </w:rPr>
              <w:t>Naujas rodiklis</w:t>
            </w:r>
          </w:p>
        </w:tc>
        <w:tc>
          <w:tcPr>
            <w:tcW w:w="1243" w:type="dxa"/>
            <w:gridSpan w:val="2"/>
          </w:tcPr>
          <w:p w14:paraId="579EF6FA" w14:textId="77777777" w:rsidR="00D67815" w:rsidRPr="00EC247F" w:rsidRDefault="00D67815" w:rsidP="00695B8A">
            <w:pPr>
              <w:rPr>
                <w:lang w:val="lt-LT"/>
              </w:rPr>
            </w:pPr>
            <w:r w:rsidRPr="00EC247F">
              <w:rPr>
                <w:lang w:val="lt-LT"/>
              </w:rPr>
              <w:t>VRK</w:t>
            </w:r>
          </w:p>
        </w:tc>
        <w:tc>
          <w:tcPr>
            <w:tcW w:w="6750" w:type="dxa"/>
          </w:tcPr>
          <w:p w14:paraId="2E6FAD51" w14:textId="3D7DCCBE" w:rsidR="00C301EC" w:rsidRPr="00EC247F" w:rsidRDefault="00C301EC" w:rsidP="00C301EC">
            <w:pPr>
              <w:rPr>
                <w:lang w:val="lt-LT"/>
              </w:rPr>
            </w:pPr>
            <w:r w:rsidRPr="00EC247F">
              <w:rPr>
                <w:lang w:val="lt-LT"/>
              </w:rPr>
              <w:t>a) Moterų ir vyrų proporcija (procentais) tarp kandidatų į savivaldybės mero postą.</w:t>
            </w:r>
          </w:p>
          <w:p w14:paraId="0D58D691" w14:textId="0DC1BCD5" w:rsidR="00C301EC" w:rsidRPr="00EC247F" w:rsidRDefault="00C301EC" w:rsidP="00C301EC">
            <w:pPr>
              <w:rPr>
                <w:lang w:val="lt-LT"/>
              </w:rPr>
            </w:pPr>
            <w:r w:rsidRPr="00EC247F">
              <w:rPr>
                <w:lang w:val="lt-LT"/>
              </w:rPr>
              <w:t xml:space="preserve">b) Moterų ir vyrų kandidatų į savivaldybės mero postą skaičius, tenkantis 1 tūkst. </w:t>
            </w:r>
            <w:r w:rsidR="00E20BE9" w:rsidRPr="00EC247F">
              <w:rPr>
                <w:lang w:val="lt-LT"/>
              </w:rPr>
              <w:t xml:space="preserve">18 metų ir vyresnių </w:t>
            </w:r>
            <w:r w:rsidRPr="00EC247F">
              <w:rPr>
                <w:lang w:val="lt-LT"/>
              </w:rPr>
              <w:t xml:space="preserve">savivaldybėje gyvenančių </w:t>
            </w:r>
            <w:r w:rsidR="00C96C15">
              <w:rPr>
                <w:lang w:val="lt-LT"/>
              </w:rPr>
              <w:t>moterų ir vy</w:t>
            </w:r>
            <w:r w:rsidR="00C96C15" w:rsidRPr="00EC247F">
              <w:rPr>
                <w:lang w:val="lt-LT"/>
              </w:rPr>
              <w:t>rų</w:t>
            </w:r>
            <w:r w:rsidRPr="00EC247F">
              <w:rPr>
                <w:lang w:val="lt-LT"/>
              </w:rPr>
              <w:t>.</w:t>
            </w:r>
            <w:r w:rsidR="00C96C15">
              <w:rPr>
                <w:lang w:val="lt-LT"/>
              </w:rPr>
              <w:t xml:space="preserve"> </w:t>
            </w:r>
          </w:p>
          <w:p w14:paraId="417E0C24" w14:textId="77777777" w:rsidR="00C301EC" w:rsidRPr="00EC247F" w:rsidRDefault="00C301EC" w:rsidP="00704765">
            <w:pPr>
              <w:rPr>
                <w:lang w:val="lt-LT"/>
              </w:rPr>
            </w:pPr>
          </w:p>
          <w:p w14:paraId="08F80982" w14:textId="61AEFA79" w:rsidR="0037224A" w:rsidRPr="00EC247F" w:rsidRDefault="00C301EC" w:rsidP="0067570E">
            <w:pPr>
              <w:rPr>
                <w:lang w:val="lt-LT"/>
              </w:rPr>
            </w:pPr>
            <w:r w:rsidRPr="00EC247F">
              <w:rPr>
                <w:lang w:val="lt-LT"/>
              </w:rPr>
              <w:t>Rodiklis</w:t>
            </w:r>
            <w:r w:rsidR="0037224A" w:rsidRPr="00EC247F">
              <w:rPr>
                <w:lang w:val="lt-LT"/>
              </w:rPr>
              <w:t xml:space="preserve"> leidžia daryti įžvalgas apie </w:t>
            </w:r>
            <w:r w:rsidR="008B3554" w:rsidRPr="00EC247F">
              <w:rPr>
                <w:lang w:val="lt-LT"/>
              </w:rPr>
              <w:t>visuomenės bei vietinio politinio elito suvokimą apie</w:t>
            </w:r>
            <w:r w:rsidR="0037224A" w:rsidRPr="00EC247F">
              <w:rPr>
                <w:lang w:val="lt-LT"/>
              </w:rPr>
              <w:t xml:space="preserve"> moter</w:t>
            </w:r>
            <w:r w:rsidR="008B3554" w:rsidRPr="00EC247F">
              <w:rPr>
                <w:lang w:val="lt-LT"/>
              </w:rPr>
              <w:t>ų</w:t>
            </w:r>
            <w:r w:rsidR="0037224A" w:rsidRPr="00EC247F">
              <w:rPr>
                <w:lang w:val="lt-LT"/>
              </w:rPr>
              <w:t xml:space="preserve"> ir vyr</w:t>
            </w:r>
            <w:r w:rsidR="008B3554" w:rsidRPr="00EC247F">
              <w:rPr>
                <w:lang w:val="lt-LT"/>
              </w:rPr>
              <w:t>ų</w:t>
            </w:r>
            <w:r w:rsidR="0037224A" w:rsidRPr="00EC247F">
              <w:rPr>
                <w:lang w:val="lt-LT"/>
              </w:rPr>
              <w:t xml:space="preserve"> dalyva</w:t>
            </w:r>
            <w:r w:rsidR="008B3554" w:rsidRPr="00EC247F">
              <w:rPr>
                <w:lang w:val="lt-LT"/>
              </w:rPr>
              <w:t>vimą</w:t>
            </w:r>
            <w:r w:rsidR="0037224A" w:rsidRPr="00EC247F">
              <w:rPr>
                <w:lang w:val="lt-LT"/>
              </w:rPr>
              <w:t xml:space="preserve"> formuojant politiką vietos lygiu ir struktūrines prielaidas </w:t>
            </w:r>
            <w:r w:rsidR="0067570E" w:rsidRPr="00EC247F">
              <w:rPr>
                <w:lang w:val="lt-LT"/>
              </w:rPr>
              <w:t xml:space="preserve">moterims </w:t>
            </w:r>
            <w:r w:rsidR="0037224A" w:rsidRPr="00EC247F">
              <w:rPr>
                <w:lang w:val="lt-LT"/>
              </w:rPr>
              <w:t>siekti nuoseklios politinės karjeros.</w:t>
            </w:r>
            <w:r w:rsidR="00404A66">
              <w:rPr>
                <w:lang w:val="lt-LT"/>
              </w:rPr>
              <w:t xml:space="preserve"> </w:t>
            </w:r>
          </w:p>
        </w:tc>
      </w:tr>
      <w:tr w:rsidR="00A974AE" w:rsidRPr="00EC247F" w14:paraId="1DE8D45D" w14:textId="77777777" w:rsidTr="00AD1B26">
        <w:trPr>
          <w:jc w:val="center"/>
        </w:trPr>
        <w:tc>
          <w:tcPr>
            <w:tcW w:w="570" w:type="dxa"/>
          </w:tcPr>
          <w:p w14:paraId="31046B62" w14:textId="77777777" w:rsidR="00A974AE" w:rsidRPr="00EC247F" w:rsidRDefault="00A974AE" w:rsidP="00695B8A">
            <w:pPr>
              <w:rPr>
                <w:b/>
                <w:lang w:val="lt-LT"/>
              </w:rPr>
            </w:pPr>
          </w:p>
        </w:tc>
        <w:tc>
          <w:tcPr>
            <w:tcW w:w="15175" w:type="dxa"/>
            <w:gridSpan w:val="6"/>
          </w:tcPr>
          <w:p w14:paraId="119861B3" w14:textId="77777777" w:rsidR="00A974AE" w:rsidRPr="00EC247F" w:rsidRDefault="00A974AE" w:rsidP="008F32C9">
            <w:pPr>
              <w:jc w:val="center"/>
              <w:rPr>
                <w:b/>
                <w:lang w:val="lt-LT"/>
              </w:rPr>
            </w:pPr>
            <w:r w:rsidRPr="00EC247F">
              <w:rPr>
                <w:b/>
                <w:lang w:val="lt-LT"/>
              </w:rPr>
              <w:t>Sveikata ir sveikatos paslaugos</w:t>
            </w:r>
          </w:p>
        </w:tc>
      </w:tr>
      <w:tr w:rsidR="00AD1B26" w:rsidRPr="00485D1C" w14:paraId="2982606F" w14:textId="77777777" w:rsidTr="00AD1B26">
        <w:trPr>
          <w:jc w:val="center"/>
        </w:trPr>
        <w:tc>
          <w:tcPr>
            <w:tcW w:w="570" w:type="dxa"/>
          </w:tcPr>
          <w:p w14:paraId="0827C071" w14:textId="0DF27F56" w:rsidR="00AD1B26" w:rsidRPr="00EC247F" w:rsidRDefault="00AD1B26" w:rsidP="00702435">
            <w:pPr>
              <w:rPr>
                <w:lang w:val="lt-LT"/>
              </w:rPr>
            </w:pPr>
            <w:r w:rsidRPr="00EC247F">
              <w:rPr>
                <w:lang w:val="lt-LT"/>
              </w:rPr>
              <w:t>3</w:t>
            </w:r>
            <w:r>
              <w:rPr>
                <w:lang w:val="lt-LT"/>
              </w:rPr>
              <w:t>5</w:t>
            </w:r>
            <w:r w:rsidRPr="00EC247F">
              <w:rPr>
                <w:lang w:val="lt-LT"/>
              </w:rPr>
              <w:t>.</w:t>
            </w:r>
          </w:p>
        </w:tc>
        <w:tc>
          <w:tcPr>
            <w:tcW w:w="3115" w:type="dxa"/>
          </w:tcPr>
          <w:p w14:paraId="780E5B8E" w14:textId="77777777" w:rsidR="00AD1B26" w:rsidRPr="00EC247F" w:rsidRDefault="00AD1B26" w:rsidP="00EE335B">
            <w:pPr>
              <w:rPr>
                <w:lang w:val="lt-LT"/>
              </w:rPr>
            </w:pPr>
            <w:r w:rsidRPr="00EC247F">
              <w:rPr>
                <w:lang w:val="lt-LT"/>
              </w:rPr>
              <w:t xml:space="preserve">Standartizuotas mirtingumas dėl narkotikų vartojimo </w:t>
            </w:r>
          </w:p>
        </w:tc>
        <w:tc>
          <w:tcPr>
            <w:tcW w:w="2340" w:type="dxa"/>
          </w:tcPr>
          <w:p w14:paraId="59DB52BE" w14:textId="77777777" w:rsidR="00AD1B26" w:rsidRPr="00EC247F" w:rsidRDefault="00AD1B26" w:rsidP="00EE335B">
            <w:pPr>
              <w:rPr>
                <w:lang w:val="lt-LT"/>
              </w:rPr>
            </w:pPr>
            <w:r w:rsidRPr="00EC247F">
              <w:rPr>
                <w:lang w:val="lt-LT"/>
              </w:rPr>
              <w:t xml:space="preserve">Savivaldybės </w:t>
            </w:r>
          </w:p>
          <w:p w14:paraId="4E021C1D" w14:textId="77777777" w:rsidR="00AD1B26" w:rsidRPr="00EC247F" w:rsidRDefault="00AD1B26" w:rsidP="00EE335B">
            <w:pPr>
              <w:rPr>
                <w:lang w:val="lt-LT"/>
              </w:rPr>
            </w:pPr>
            <w:r w:rsidRPr="00EC247F">
              <w:rPr>
                <w:lang w:val="lt-LT"/>
              </w:rPr>
              <w:t>Lytis</w:t>
            </w:r>
          </w:p>
        </w:tc>
        <w:tc>
          <w:tcPr>
            <w:tcW w:w="1727" w:type="dxa"/>
            <w:vMerge w:val="restart"/>
            <w:vAlign w:val="center"/>
          </w:tcPr>
          <w:p w14:paraId="41FD5D40" w14:textId="64E3F3C9" w:rsidR="00AD1B26" w:rsidRPr="00EC247F" w:rsidRDefault="00AD1B26" w:rsidP="00695B8A">
            <w:pPr>
              <w:rPr>
                <w:lang w:val="lt-LT"/>
              </w:rPr>
            </w:pPr>
            <w:r>
              <w:rPr>
                <w:lang w:val="lt-LT"/>
              </w:rPr>
              <w:t xml:space="preserve">Dalinai </w:t>
            </w:r>
            <w:r w:rsidRPr="00AD1B26">
              <w:rPr>
                <w:lang w:val="lt-LT"/>
              </w:rPr>
              <w:t xml:space="preserve">skelbiama (HI leidinyje „Visuomenės sveikatos būklė Lietuvos savivaldybėse 2016“, trūksta </w:t>
            </w:r>
            <w:r w:rsidRPr="00AD1B26">
              <w:rPr>
                <w:lang w:val="lt-LT"/>
              </w:rPr>
              <w:lastRenderedPageBreak/>
              <w:t>lyties dimensijos</w:t>
            </w:r>
            <w:r>
              <w:rPr>
                <w:lang w:val="lt-LT"/>
              </w:rPr>
              <w:t>; OSP trūksta savivaldybių dimensijos</w:t>
            </w:r>
            <w:r w:rsidRPr="00AD1B26">
              <w:rPr>
                <w:lang w:val="lt-LT"/>
              </w:rPr>
              <w:t>)</w:t>
            </w:r>
          </w:p>
        </w:tc>
        <w:tc>
          <w:tcPr>
            <w:tcW w:w="1243" w:type="dxa"/>
            <w:gridSpan w:val="2"/>
          </w:tcPr>
          <w:p w14:paraId="2FEF3C7D" w14:textId="77777777" w:rsidR="00AD1B26" w:rsidRPr="00EC247F" w:rsidRDefault="00AD1B26" w:rsidP="00695B8A">
            <w:pPr>
              <w:rPr>
                <w:lang w:val="lt-LT"/>
              </w:rPr>
            </w:pPr>
            <w:r w:rsidRPr="00EC247F">
              <w:rPr>
                <w:lang w:val="lt-LT"/>
              </w:rPr>
              <w:lastRenderedPageBreak/>
              <w:t>HI (SIC)</w:t>
            </w:r>
          </w:p>
        </w:tc>
        <w:tc>
          <w:tcPr>
            <w:tcW w:w="6750" w:type="dxa"/>
          </w:tcPr>
          <w:p w14:paraId="07F051E5" w14:textId="77777777" w:rsidR="00AD1B26" w:rsidRPr="00EC247F" w:rsidRDefault="00AD1B26" w:rsidP="009A2AC0">
            <w:pPr>
              <w:rPr>
                <w:lang w:val="lt-LT"/>
              </w:rPr>
            </w:pPr>
            <w:r w:rsidRPr="00EC247F">
              <w:rPr>
                <w:lang w:val="lt-LT"/>
              </w:rPr>
              <w:t>Mirusiųjų dėl priežasčių, susijusių su narkotikų vartojimu, skaičius</w:t>
            </w:r>
            <w:r w:rsidRPr="00EC247F">
              <w:rPr>
                <w:rFonts w:ascii="Arial" w:eastAsiaTheme="minorHAnsi" w:hAnsi="Arial" w:cs="Arial"/>
                <w:color w:val="000000"/>
                <w:sz w:val="16"/>
                <w:szCs w:val="16"/>
                <w:lang w:val="lt-LT"/>
              </w:rPr>
              <w:t xml:space="preserve"> </w:t>
            </w:r>
            <w:r w:rsidRPr="00EC247F">
              <w:rPr>
                <w:lang w:val="lt-LT"/>
              </w:rPr>
              <w:t>100 000 gyventojų (standartizuota pagal amžių pagal 2013m. Europos standartą).</w:t>
            </w:r>
            <w:r w:rsidRPr="00EC247F">
              <w:rPr>
                <w:rFonts w:eastAsiaTheme="minorHAnsi"/>
                <w:color w:val="000000"/>
                <w:sz w:val="23"/>
                <w:szCs w:val="23"/>
                <w:lang w:val="lt-LT"/>
              </w:rPr>
              <w:t xml:space="preserve"> </w:t>
            </w:r>
            <w:r w:rsidRPr="00EC247F">
              <w:rPr>
                <w:lang w:val="lt-LT"/>
              </w:rPr>
              <w:t>Pagal amžių standartizuoti mirtingumo rodikliai rodo, koks būtų analizuojamos žmonių sveikatos problemos dažnis 60–</w:t>
            </w:r>
            <w:proofErr w:type="spellStart"/>
            <w:r w:rsidRPr="00EC247F">
              <w:rPr>
                <w:lang w:val="lt-LT"/>
              </w:rPr>
              <w:t>yje</w:t>
            </w:r>
            <w:proofErr w:type="spellEnd"/>
            <w:r w:rsidRPr="00EC247F">
              <w:rPr>
                <w:lang w:val="lt-LT"/>
              </w:rPr>
              <w:t xml:space="preserve"> savivaldybių, jeigu jose gyventojų amžiaus struktūra būtų vienoda. </w:t>
            </w:r>
            <w:r w:rsidRPr="00EC247F">
              <w:rPr>
                <w:bCs/>
                <w:lang w:val="lt-LT"/>
              </w:rPr>
              <w:t>Standartizuoti rodikliai yra skirti tik palyginimui tarp savivaldybių.</w:t>
            </w:r>
            <w:r w:rsidRPr="00EC247F">
              <w:rPr>
                <w:b/>
                <w:bCs/>
                <w:lang w:val="lt-LT"/>
              </w:rPr>
              <w:t xml:space="preserve"> </w:t>
            </w:r>
            <w:r w:rsidRPr="00EC247F">
              <w:rPr>
                <w:lang w:val="lt-LT"/>
              </w:rPr>
              <w:t>Standartizacija taikoma tam, kad būtų eliminuota gyventojų amžiaus įtaka mirtingumo rodikliams</w:t>
            </w:r>
            <w:r w:rsidRPr="00EC247F">
              <w:rPr>
                <w:rStyle w:val="FootnoteReference"/>
                <w:lang w:val="lt-LT"/>
              </w:rPr>
              <w:footnoteReference w:id="68"/>
            </w:r>
            <w:r w:rsidRPr="00EC247F">
              <w:rPr>
                <w:lang w:val="lt-LT"/>
              </w:rPr>
              <w:t>.</w:t>
            </w:r>
          </w:p>
        </w:tc>
      </w:tr>
      <w:tr w:rsidR="00AD1B26" w:rsidRPr="00485D1C" w14:paraId="6EF9139D" w14:textId="77777777" w:rsidTr="00AD1B26">
        <w:trPr>
          <w:jc w:val="center"/>
        </w:trPr>
        <w:tc>
          <w:tcPr>
            <w:tcW w:w="570" w:type="dxa"/>
          </w:tcPr>
          <w:p w14:paraId="09BA5C8B" w14:textId="7B20022D" w:rsidR="00AD1B26" w:rsidRPr="00EC247F" w:rsidRDefault="00AD1B26" w:rsidP="00EE335B">
            <w:pPr>
              <w:rPr>
                <w:color w:val="222222"/>
                <w:lang w:val="lt-LT"/>
              </w:rPr>
            </w:pPr>
            <w:r>
              <w:rPr>
                <w:color w:val="222222"/>
                <w:lang w:val="lt-LT"/>
              </w:rPr>
              <w:lastRenderedPageBreak/>
              <w:t>36</w:t>
            </w:r>
            <w:r w:rsidRPr="00EC247F">
              <w:rPr>
                <w:color w:val="222222"/>
                <w:lang w:val="lt-LT"/>
              </w:rPr>
              <w:t>.</w:t>
            </w:r>
          </w:p>
        </w:tc>
        <w:tc>
          <w:tcPr>
            <w:tcW w:w="3115" w:type="dxa"/>
          </w:tcPr>
          <w:p w14:paraId="4D7CE848" w14:textId="77777777" w:rsidR="00AD1B26" w:rsidRPr="00EC247F" w:rsidRDefault="00AD1B26" w:rsidP="00EE335B">
            <w:pPr>
              <w:rPr>
                <w:lang w:val="lt-LT"/>
              </w:rPr>
            </w:pPr>
            <w:r w:rsidRPr="00EC247F">
              <w:rPr>
                <w:color w:val="222222"/>
                <w:lang w:val="lt-LT"/>
              </w:rPr>
              <w:t>Standartizuotas mirtingumas dėl tyčinių susižalojimų (savižudybės)</w:t>
            </w:r>
          </w:p>
        </w:tc>
        <w:tc>
          <w:tcPr>
            <w:tcW w:w="2340" w:type="dxa"/>
          </w:tcPr>
          <w:p w14:paraId="4BE7FD4E" w14:textId="77777777" w:rsidR="00AD1B26" w:rsidRPr="00EC247F" w:rsidRDefault="00AD1B26" w:rsidP="00AF6A11">
            <w:pPr>
              <w:rPr>
                <w:lang w:val="lt-LT"/>
              </w:rPr>
            </w:pPr>
            <w:r w:rsidRPr="00EC247F">
              <w:rPr>
                <w:lang w:val="lt-LT"/>
              </w:rPr>
              <w:t xml:space="preserve">Savivaldybės </w:t>
            </w:r>
          </w:p>
          <w:p w14:paraId="1DED6970" w14:textId="77777777" w:rsidR="00AD1B26" w:rsidRPr="00EC247F" w:rsidRDefault="00AD1B26" w:rsidP="00AF6A11">
            <w:pPr>
              <w:rPr>
                <w:lang w:val="lt-LT"/>
              </w:rPr>
            </w:pPr>
            <w:r w:rsidRPr="00EC247F">
              <w:rPr>
                <w:lang w:val="lt-LT"/>
              </w:rPr>
              <w:t>Lytis</w:t>
            </w:r>
          </w:p>
        </w:tc>
        <w:tc>
          <w:tcPr>
            <w:tcW w:w="1727" w:type="dxa"/>
            <w:vMerge/>
          </w:tcPr>
          <w:p w14:paraId="37F2A7D5" w14:textId="77777777" w:rsidR="00AD1B26" w:rsidRPr="00EC247F" w:rsidRDefault="00AD1B26" w:rsidP="00695B8A">
            <w:pPr>
              <w:rPr>
                <w:lang w:val="lt-LT"/>
              </w:rPr>
            </w:pPr>
          </w:p>
        </w:tc>
        <w:tc>
          <w:tcPr>
            <w:tcW w:w="1243" w:type="dxa"/>
            <w:gridSpan w:val="2"/>
          </w:tcPr>
          <w:p w14:paraId="731D6E6B" w14:textId="77777777" w:rsidR="00AD1B26" w:rsidRPr="00EC247F" w:rsidRDefault="00AD1B26" w:rsidP="00BF5DFB">
            <w:pPr>
              <w:rPr>
                <w:lang w:val="lt-LT"/>
              </w:rPr>
            </w:pPr>
            <w:r w:rsidRPr="00EC247F">
              <w:rPr>
                <w:lang w:val="lt-LT"/>
              </w:rPr>
              <w:t>HI (SIC)</w:t>
            </w:r>
          </w:p>
        </w:tc>
        <w:tc>
          <w:tcPr>
            <w:tcW w:w="6750" w:type="dxa"/>
          </w:tcPr>
          <w:p w14:paraId="4B21E91E" w14:textId="77777777" w:rsidR="00AD1B26" w:rsidRPr="00EC247F" w:rsidRDefault="00AD1B26" w:rsidP="009A2AC0">
            <w:pPr>
              <w:rPr>
                <w:lang w:val="lt-LT"/>
              </w:rPr>
            </w:pPr>
            <w:r w:rsidRPr="00EC247F">
              <w:rPr>
                <w:lang w:val="lt-LT"/>
              </w:rPr>
              <w:t>Mirusiųjų dėl tyčinių susižalojimų (savižudybių) skaičius 100 000 gyventojų (standartizuota pagal amžių pagal 2013m. Europos standartą). Pagal amžių standartizuoti mirtingumo rodikliai rodo, koks būtų analizuojamos žmonių sveikatos problemos dažnis 60–</w:t>
            </w:r>
            <w:proofErr w:type="spellStart"/>
            <w:r w:rsidRPr="00EC247F">
              <w:rPr>
                <w:lang w:val="lt-LT"/>
              </w:rPr>
              <w:t>yje</w:t>
            </w:r>
            <w:proofErr w:type="spellEnd"/>
            <w:r w:rsidRPr="00EC247F">
              <w:rPr>
                <w:lang w:val="lt-LT"/>
              </w:rPr>
              <w:t xml:space="preserve"> savivaldybių, jeigu jose gyventojų amžiaus struktūra būtų vienoda. </w:t>
            </w:r>
            <w:r w:rsidRPr="00EC247F">
              <w:rPr>
                <w:bCs/>
                <w:lang w:val="lt-LT"/>
              </w:rPr>
              <w:t>Standartizuoti rodikliai yra skirti tik palyginimui tarp savivaldybių.</w:t>
            </w:r>
            <w:r w:rsidRPr="00EC247F">
              <w:rPr>
                <w:b/>
                <w:bCs/>
                <w:lang w:val="lt-LT"/>
              </w:rPr>
              <w:t xml:space="preserve"> </w:t>
            </w:r>
            <w:r w:rsidRPr="00EC247F">
              <w:rPr>
                <w:lang w:val="lt-LT"/>
              </w:rPr>
              <w:t>Standartizacija taikoma tam, kad būtų eliminuota gyventojų amžiaus įtaka mirtingumo rodikliams</w:t>
            </w:r>
            <w:r w:rsidRPr="00EC247F">
              <w:rPr>
                <w:vertAlign w:val="superscript"/>
                <w:lang w:val="lt-LT"/>
              </w:rPr>
              <w:footnoteReference w:id="69"/>
            </w:r>
            <w:r w:rsidRPr="00EC247F">
              <w:rPr>
                <w:lang w:val="lt-LT"/>
              </w:rPr>
              <w:t>.</w:t>
            </w:r>
          </w:p>
        </w:tc>
      </w:tr>
      <w:tr w:rsidR="00AD1B26" w:rsidRPr="00485D1C" w14:paraId="288E8491" w14:textId="77777777" w:rsidTr="00AD1B26">
        <w:trPr>
          <w:jc w:val="center"/>
        </w:trPr>
        <w:tc>
          <w:tcPr>
            <w:tcW w:w="570" w:type="dxa"/>
          </w:tcPr>
          <w:p w14:paraId="64726791" w14:textId="2C2E9EC3" w:rsidR="00AD1B26" w:rsidRPr="00EC247F" w:rsidRDefault="00AD1B26" w:rsidP="00CE7B7A">
            <w:pPr>
              <w:rPr>
                <w:color w:val="222222"/>
                <w:lang w:val="lt-LT"/>
              </w:rPr>
            </w:pPr>
            <w:r>
              <w:rPr>
                <w:color w:val="222222"/>
                <w:lang w:val="lt-LT"/>
              </w:rPr>
              <w:t>37</w:t>
            </w:r>
            <w:r w:rsidRPr="00EC247F">
              <w:rPr>
                <w:color w:val="222222"/>
                <w:lang w:val="lt-LT"/>
              </w:rPr>
              <w:t>.</w:t>
            </w:r>
          </w:p>
        </w:tc>
        <w:tc>
          <w:tcPr>
            <w:tcW w:w="3115" w:type="dxa"/>
          </w:tcPr>
          <w:p w14:paraId="13FC177F" w14:textId="77777777" w:rsidR="00AD1B26" w:rsidRPr="00EC247F" w:rsidRDefault="00AD1B26" w:rsidP="00CE7B7A">
            <w:pPr>
              <w:rPr>
                <w:lang w:val="lt-LT"/>
              </w:rPr>
            </w:pPr>
            <w:r w:rsidRPr="00EC247F">
              <w:rPr>
                <w:color w:val="222222"/>
                <w:lang w:val="lt-LT"/>
              </w:rPr>
              <w:t xml:space="preserve">Standartizuotas mirtingumas dėl alkoholio vartojimo </w:t>
            </w:r>
          </w:p>
        </w:tc>
        <w:tc>
          <w:tcPr>
            <w:tcW w:w="2340" w:type="dxa"/>
          </w:tcPr>
          <w:p w14:paraId="491E133E" w14:textId="77777777" w:rsidR="00AD1B26" w:rsidRPr="00EC247F" w:rsidRDefault="00AD1B26" w:rsidP="00AF6A11">
            <w:pPr>
              <w:rPr>
                <w:lang w:val="lt-LT"/>
              </w:rPr>
            </w:pPr>
            <w:r w:rsidRPr="00EC247F">
              <w:rPr>
                <w:lang w:val="lt-LT"/>
              </w:rPr>
              <w:t xml:space="preserve">Savivaldybės </w:t>
            </w:r>
          </w:p>
          <w:p w14:paraId="21D4FC87" w14:textId="77777777" w:rsidR="00AD1B26" w:rsidRPr="00EC247F" w:rsidRDefault="00AD1B26" w:rsidP="00AF6A11">
            <w:pPr>
              <w:rPr>
                <w:lang w:val="lt-LT"/>
              </w:rPr>
            </w:pPr>
            <w:r w:rsidRPr="00EC247F">
              <w:rPr>
                <w:lang w:val="lt-LT"/>
              </w:rPr>
              <w:t>Lytis</w:t>
            </w:r>
          </w:p>
        </w:tc>
        <w:tc>
          <w:tcPr>
            <w:tcW w:w="1727" w:type="dxa"/>
            <w:vMerge/>
          </w:tcPr>
          <w:p w14:paraId="02E89A11" w14:textId="77777777" w:rsidR="00AD1B26" w:rsidRPr="00EC247F" w:rsidRDefault="00AD1B26" w:rsidP="00695B8A">
            <w:pPr>
              <w:rPr>
                <w:lang w:val="lt-LT"/>
              </w:rPr>
            </w:pPr>
          </w:p>
        </w:tc>
        <w:tc>
          <w:tcPr>
            <w:tcW w:w="1243" w:type="dxa"/>
            <w:gridSpan w:val="2"/>
          </w:tcPr>
          <w:p w14:paraId="306B3B8B" w14:textId="77777777" w:rsidR="00AD1B26" w:rsidRPr="00EC247F" w:rsidRDefault="00AD1B26" w:rsidP="00BF5DFB">
            <w:pPr>
              <w:rPr>
                <w:lang w:val="lt-LT"/>
              </w:rPr>
            </w:pPr>
            <w:r w:rsidRPr="00EC247F">
              <w:rPr>
                <w:lang w:val="lt-LT"/>
              </w:rPr>
              <w:t>HI (SIC)</w:t>
            </w:r>
          </w:p>
        </w:tc>
        <w:tc>
          <w:tcPr>
            <w:tcW w:w="6750" w:type="dxa"/>
          </w:tcPr>
          <w:p w14:paraId="1CD81446" w14:textId="77777777" w:rsidR="00AD1B26" w:rsidRPr="00EC247F" w:rsidRDefault="00AD1B26" w:rsidP="009A2AC0">
            <w:pPr>
              <w:rPr>
                <w:lang w:val="lt-LT"/>
              </w:rPr>
            </w:pPr>
            <w:r w:rsidRPr="00EC247F">
              <w:rPr>
                <w:lang w:val="lt-LT"/>
              </w:rPr>
              <w:t>Mirusiųjų dėl priežasčių, susijusių su alkoholio vartojimu, skaičius 100 000 gyventojų (standartizuota pagal amžių pagal 2013m. Europos standartą). Pagal amžių standartizuoti mirtingumo rodikliai rodo, koks būtų analizuojamos žmonių sveikatos problemos dažnis 60–</w:t>
            </w:r>
            <w:proofErr w:type="spellStart"/>
            <w:r w:rsidRPr="00EC247F">
              <w:rPr>
                <w:lang w:val="lt-LT"/>
              </w:rPr>
              <w:t>yje</w:t>
            </w:r>
            <w:proofErr w:type="spellEnd"/>
            <w:r w:rsidRPr="00EC247F">
              <w:rPr>
                <w:lang w:val="lt-LT"/>
              </w:rPr>
              <w:t xml:space="preserve"> savivaldybių, jeigu jose gyventojų amžiaus struktūra būtų vienoda. </w:t>
            </w:r>
            <w:r w:rsidRPr="00EC247F">
              <w:rPr>
                <w:bCs/>
                <w:lang w:val="lt-LT"/>
              </w:rPr>
              <w:t>Standartizuoti rodikliai yra skirti tik palyginimui tarp savivaldybių.</w:t>
            </w:r>
            <w:r w:rsidRPr="00EC247F">
              <w:rPr>
                <w:b/>
                <w:bCs/>
                <w:lang w:val="lt-LT"/>
              </w:rPr>
              <w:t xml:space="preserve"> </w:t>
            </w:r>
            <w:r w:rsidRPr="00EC247F">
              <w:rPr>
                <w:lang w:val="lt-LT"/>
              </w:rPr>
              <w:t>Standartizacija taikoma tam, kad būtų eliminuota gyventojų amžiaus įtaka mirtingumo rodikliams</w:t>
            </w:r>
            <w:r w:rsidRPr="00EC247F">
              <w:rPr>
                <w:vertAlign w:val="superscript"/>
                <w:lang w:val="lt-LT"/>
              </w:rPr>
              <w:footnoteReference w:id="70"/>
            </w:r>
            <w:r w:rsidRPr="00EC247F">
              <w:rPr>
                <w:lang w:val="lt-LT"/>
              </w:rPr>
              <w:t>.</w:t>
            </w:r>
          </w:p>
        </w:tc>
      </w:tr>
      <w:tr w:rsidR="00AD1B26" w:rsidRPr="00485D1C" w14:paraId="53922BF7" w14:textId="77777777" w:rsidTr="00AD1B26">
        <w:trPr>
          <w:jc w:val="center"/>
        </w:trPr>
        <w:tc>
          <w:tcPr>
            <w:tcW w:w="570" w:type="dxa"/>
          </w:tcPr>
          <w:p w14:paraId="7E807EEC" w14:textId="30735566" w:rsidR="00AD1B26" w:rsidRPr="00EC247F" w:rsidRDefault="00AD1B26" w:rsidP="00CE7B7A">
            <w:pPr>
              <w:rPr>
                <w:lang w:val="lt-LT"/>
              </w:rPr>
            </w:pPr>
            <w:r>
              <w:rPr>
                <w:lang w:val="lt-LT"/>
              </w:rPr>
              <w:t>38</w:t>
            </w:r>
            <w:r w:rsidRPr="00EC247F">
              <w:rPr>
                <w:lang w:val="lt-LT"/>
              </w:rPr>
              <w:t>.</w:t>
            </w:r>
          </w:p>
        </w:tc>
        <w:tc>
          <w:tcPr>
            <w:tcW w:w="3115" w:type="dxa"/>
          </w:tcPr>
          <w:p w14:paraId="2292122E" w14:textId="77777777" w:rsidR="00AD1B26" w:rsidRPr="00EC247F" w:rsidRDefault="00AD1B26" w:rsidP="00CE7B7A">
            <w:pPr>
              <w:rPr>
                <w:lang w:val="lt-LT"/>
              </w:rPr>
            </w:pPr>
            <w:r w:rsidRPr="00EC247F">
              <w:rPr>
                <w:lang w:val="lt-LT"/>
              </w:rPr>
              <w:t xml:space="preserve">Standartizuotas mirtingumas dėl išorinių mirties priežasčių </w:t>
            </w:r>
          </w:p>
        </w:tc>
        <w:tc>
          <w:tcPr>
            <w:tcW w:w="2340" w:type="dxa"/>
          </w:tcPr>
          <w:p w14:paraId="58D03EA9" w14:textId="77777777" w:rsidR="00AD1B26" w:rsidRPr="00EC247F" w:rsidRDefault="00AD1B26" w:rsidP="00AF6A11">
            <w:pPr>
              <w:rPr>
                <w:lang w:val="lt-LT"/>
              </w:rPr>
            </w:pPr>
            <w:r w:rsidRPr="00EC247F">
              <w:rPr>
                <w:lang w:val="lt-LT"/>
              </w:rPr>
              <w:t xml:space="preserve">Savivaldybės </w:t>
            </w:r>
          </w:p>
          <w:p w14:paraId="4800ABF7" w14:textId="77777777" w:rsidR="00AD1B26" w:rsidRPr="00EC247F" w:rsidRDefault="00AD1B26" w:rsidP="00AF6A11">
            <w:pPr>
              <w:rPr>
                <w:lang w:val="lt-LT"/>
              </w:rPr>
            </w:pPr>
            <w:r w:rsidRPr="00EC247F">
              <w:rPr>
                <w:lang w:val="lt-LT"/>
              </w:rPr>
              <w:t>Lytis</w:t>
            </w:r>
          </w:p>
        </w:tc>
        <w:tc>
          <w:tcPr>
            <w:tcW w:w="1727" w:type="dxa"/>
            <w:vMerge/>
          </w:tcPr>
          <w:p w14:paraId="5CD20303" w14:textId="77777777" w:rsidR="00AD1B26" w:rsidRPr="00EC247F" w:rsidRDefault="00AD1B26" w:rsidP="00695B8A">
            <w:pPr>
              <w:rPr>
                <w:lang w:val="lt-LT"/>
              </w:rPr>
            </w:pPr>
          </w:p>
        </w:tc>
        <w:tc>
          <w:tcPr>
            <w:tcW w:w="1243" w:type="dxa"/>
            <w:gridSpan w:val="2"/>
          </w:tcPr>
          <w:p w14:paraId="7FCA7396" w14:textId="77777777" w:rsidR="00AD1B26" w:rsidRPr="00EC247F" w:rsidRDefault="00AD1B26" w:rsidP="00BF5DFB">
            <w:pPr>
              <w:rPr>
                <w:lang w:val="lt-LT"/>
              </w:rPr>
            </w:pPr>
            <w:r w:rsidRPr="00EC247F">
              <w:rPr>
                <w:lang w:val="lt-LT"/>
              </w:rPr>
              <w:t>HI (SIC)</w:t>
            </w:r>
          </w:p>
        </w:tc>
        <w:tc>
          <w:tcPr>
            <w:tcW w:w="6750" w:type="dxa"/>
          </w:tcPr>
          <w:p w14:paraId="14C1381B" w14:textId="5C586733" w:rsidR="00AD1B26" w:rsidRPr="00EC247F" w:rsidRDefault="00AD1B26" w:rsidP="00ED6F65">
            <w:pPr>
              <w:rPr>
                <w:lang w:val="lt-LT"/>
              </w:rPr>
            </w:pPr>
            <w:r w:rsidRPr="00EC247F">
              <w:rPr>
                <w:lang w:val="lt-LT"/>
              </w:rPr>
              <w:t xml:space="preserve">Mirusiųjų dėl išorinių mirties priežasčių </w:t>
            </w:r>
            <w:r>
              <w:rPr>
                <w:lang w:val="lt-LT"/>
              </w:rPr>
              <w:t>(</w:t>
            </w:r>
            <w:r w:rsidRPr="00ED6F65">
              <w:rPr>
                <w:lang w:val="lt-LT"/>
              </w:rPr>
              <w:t xml:space="preserve">transporto įvykių, atsitiktinių paskendimų, nukritimų, šalčio poveikio, </w:t>
            </w:r>
            <w:r>
              <w:rPr>
                <w:lang w:val="lt-LT"/>
              </w:rPr>
              <w:t>pasikėsinimų (</w:t>
            </w:r>
            <w:r w:rsidRPr="00ED6F65">
              <w:rPr>
                <w:lang w:val="lt-LT"/>
              </w:rPr>
              <w:t>nužudymų</w:t>
            </w:r>
            <w:r>
              <w:rPr>
                <w:lang w:val="lt-LT"/>
              </w:rPr>
              <w:t>), atsitiktinio apsinuodijimo narkotikais, atsitiktinio apsinuodijimo alkoholiu, tyčinių susižalojimų (savižudybių))</w:t>
            </w:r>
            <w:r w:rsidRPr="00ED6F65">
              <w:rPr>
                <w:lang w:val="lt-LT"/>
              </w:rPr>
              <w:t xml:space="preserve"> </w:t>
            </w:r>
            <w:r w:rsidRPr="00EC247F">
              <w:rPr>
                <w:lang w:val="lt-LT"/>
              </w:rPr>
              <w:t>skaičius 100 000 gyventojų (standartizuota pagal amžių pagal 2013m. Europos standartą). Pagal amžių standartizuoti mirtingumo rodikliai rodo, koks būtų analizuojamos žmonių sveikatos problemos dažnis 60–</w:t>
            </w:r>
            <w:proofErr w:type="spellStart"/>
            <w:r w:rsidRPr="00EC247F">
              <w:rPr>
                <w:lang w:val="lt-LT"/>
              </w:rPr>
              <w:t>yje</w:t>
            </w:r>
            <w:proofErr w:type="spellEnd"/>
            <w:r w:rsidRPr="00EC247F">
              <w:rPr>
                <w:lang w:val="lt-LT"/>
              </w:rPr>
              <w:t xml:space="preserve"> savivaldybių, jeigu jose gyventojų amžiaus struktūra būtų vienoda. </w:t>
            </w:r>
            <w:r w:rsidRPr="00EC247F">
              <w:rPr>
                <w:bCs/>
                <w:lang w:val="lt-LT"/>
              </w:rPr>
              <w:t>Standartizuoti rodikliai yra skirti tik palyginimui tarp savivaldybių.</w:t>
            </w:r>
            <w:r w:rsidRPr="00EC247F">
              <w:rPr>
                <w:b/>
                <w:bCs/>
                <w:lang w:val="lt-LT"/>
              </w:rPr>
              <w:t xml:space="preserve"> </w:t>
            </w:r>
            <w:r w:rsidRPr="00EC247F">
              <w:rPr>
                <w:lang w:val="lt-LT"/>
              </w:rPr>
              <w:t>Standartizacija taikoma tam, kad būtų eliminuota gyventojų amžiaus įtaka mirtingumo rodikliams</w:t>
            </w:r>
            <w:r w:rsidRPr="00EC247F">
              <w:rPr>
                <w:vertAlign w:val="superscript"/>
                <w:lang w:val="lt-LT"/>
              </w:rPr>
              <w:footnoteReference w:id="71"/>
            </w:r>
            <w:r w:rsidRPr="00EC247F">
              <w:rPr>
                <w:lang w:val="lt-LT"/>
              </w:rPr>
              <w:t>.</w:t>
            </w:r>
          </w:p>
        </w:tc>
      </w:tr>
      <w:tr w:rsidR="003D49CB" w:rsidRPr="00485D1C" w14:paraId="741CA17A" w14:textId="77777777" w:rsidTr="00AD1B26">
        <w:trPr>
          <w:jc w:val="center"/>
        </w:trPr>
        <w:tc>
          <w:tcPr>
            <w:tcW w:w="570" w:type="dxa"/>
          </w:tcPr>
          <w:p w14:paraId="29AD7980" w14:textId="53A00145" w:rsidR="003D49CB" w:rsidRPr="00EC247F" w:rsidRDefault="00702435" w:rsidP="00CE7B7A">
            <w:pPr>
              <w:rPr>
                <w:lang w:val="lt-LT"/>
              </w:rPr>
            </w:pPr>
            <w:r>
              <w:rPr>
                <w:lang w:val="lt-LT"/>
              </w:rPr>
              <w:t>39.</w:t>
            </w:r>
          </w:p>
        </w:tc>
        <w:tc>
          <w:tcPr>
            <w:tcW w:w="3115" w:type="dxa"/>
          </w:tcPr>
          <w:p w14:paraId="7F1AE402" w14:textId="77777777" w:rsidR="003D49CB" w:rsidRPr="00EC247F" w:rsidRDefault="003D49CB" w:rsidP="00CE7B7A">
            <w:pPr>
              <w:rPr>
                <w:lang w:val="lt-LT"/>
              </w:rPr>
            </w:pPr>
            <w:r w:rsidRPr="00EC247F">
              <w:rPr>
                <w:lang w:val="lt-LT"/>
              </w:rPr>
              <w:t xml:space="preserve">Šeimos gydytojų skaičius </w:t>
            </w:r>
          </w:p>
          <w:p w14:paraId="45AA2FFD" w14:textId="77777777" w:rsidR="003D49CB" w:rsidRPr="00EC247F" w:rsidRDefault="003D49CB" w:rsidP="00CE7B7A">
            <w:pPr>
              <w:rPr>
                <w:lang w:val="lt-LT"/>
              </w:rPr>
            </w:pPr>
            <w:r w:rsidRPr="00EC247F">
              <w:rPr>
                <w:lang w:val="lt-LT"/>
              </w:rPr>
              <w:t>10 000 gyv.</w:t>
            </w:r>
          </w:p>
        </w:tc>
        <w:tc>
          <w:tcPr>
            <w:tcW w:w="2340" w:type="dxa"/>
          </w:tcPr>
          <w:p w14:paraId="2CFFE224" w14:textId="46BBF1B0" w:rsidR="003D49CB" w:rsidRPr="00EC247F" w:rsidRDefault="000935F9" w:rsidP="00AF6A11">
            <w:pPr>
              <w:rPr>
                <w:lang w:val="lt-LT"/>
              </w:rPr>
            </w:pPr>
            <w:r w:rsidRPr="00EC247F">
              <w:rPr>
                <w:lang w:val="lt-LT"/>
              </w:rPr>
              <w:t>Savivaldybės</w:t>
            </w:r>
          </w:p>
        </w:tc>
        <w:tc>
          <w:tcPr>
            <w:tcW w:w="1727" w:type="dxa"/>
          </w:tcPr>
          <w:p w14:paraId="6F9341C3" w14:textId="0F343DF3" w:rsidR="003D49CB" w:rsidRPr="00EC247F" w:rsidRDefault="00623039" w:rsidP="00623039">
            <w:pPr>
              <w:rPr>
                <w:lang w:val="lt-LT"/>
              </w:rPr>
            </w:pPr>
            <w:r>
              <w:rPr>
                <w:lang w:val="lt-LT"/>
              </w:rPr>
              <w:t xml:space="preserve">Skelbiama </w:t>
            </w:r>
            <w:r w:rsidRPr="00AD1B26">
              <w:rPr>
                <w:lang w:val="lt-LT"/>
              </w:rPr>
              <w:t xml:space="preserve">(HI leidinyje „Visuomenės </w:t>
            </w:r>
            <w:r w:rsidRPr="00AD1B26">
              <w:rPr>
                <w:lang w:val="lt-LT"/>
              </w:rPr>
              <w:lastRenderedPageBreak/>
              <w:t>sveikatos būklė Lietuvos savivaldybėse 2016“</w:t>
            </w:r>
            <w:r>
              <w:rPr>
                <w:lang w:val="lt-LT"/>
              </w:rPr>
              <w:t>; OSP dalinai neskelbiama (nėra savivaldybių dimensijos)</w:t>
            </w:r>
          </w:p>
        </w:tc>
        <w:tc>
          <w:tcPr>
            <w:tcW w:w="1243" w:type="dxa"/>
            <w:gridSpan w:val="2"/>
          </w:tcPr>
          <w:p w14:paraId="7F4EC900" w14:textId="7A2CFD2A" w:rsidR="003D49CB" w:rsidRPr="00EC247F" w:rsidRDefault="000935F9" w:rsidP="00BF5DFB">
            <w:pPr>
              <w:rPr>
                <w:lang w:val="lt-LT"/>
              </w:rPr>
            </w:pPr>
            <w:r w:rsidRPr="00EC247F">
              <w:rPr>
                <w:lang w:val="lt-LT"/>
              </w:rPr>
              <w:lastRenderedPageBreak/>
              <w:t>HI (SIC)</w:t>
            </w:r>
          </w:p>
        </w:tc>
        <w:tc>
          <w:tcPr>
            <w:tcW w:w="6750" w:type="dxa"/>
          </w:tcPr>
          <w:p w14:paraId="573950AB" w14:textId="00CA60B0" w:rsidR="00964B41" w:rsidRPr="00EC247F" w:rsidRDefault="001D4B30" w:rsidP="009A2AC0">
            <w:pPr>
              <w:rPr>
                <w:lang w:val="lt-LT"/>
              </w:rPr>
            </w:pPr>
            <w:r w:rsidRPr="00EC247F">
              <w:rPr>
                <w:lang w:val="lt-LT"/>
              </w:rPr>
              <w:t>Fizinė, emocinė, psichologinė sveikata yra sudėtinės asmens gerovės dalys</w:t>
            </w:r>
            <w:r w:rsidRPr="00EC247F">
              <w:rPr>
                <w:rStyle w:val="FootnoteReference"/>
                <w:lang w:val="lt-LT"/>
              </w:rPr>
              <w:footnoteReference w:id="72"/>
            </w:r>
            <w:r w:rsidRPr="00EC247F">
              <w:rPr>
                <w:lang w:val="lt-LT"/>
              </w:rPr>
              <w:t xml:space="preserve">, todėl </w:t>
            </w:r>
            <w:r w:rsidR="00964B41" w:rsidRPr="00EC247F">
              <w:rPr>
                <w:lang w:val="lt-LT"/>
              </w:rPr>
              <w:t xml:space="preserve">svarbu užtikrinti </w:t>
            </w:r>
            <w:r w:rsidRPr="00EC247F">
              <w:rPr>
                <w:lang w:val="lt-LT"/>
              </w:rPr>
              <w:t>s</w:t>
            </w:r>
            <w:r w:rsidR="000935F9" w:rsidRPr="00EC247F">
              <w:rPr>
                <w:lang w:val="lt-LT"/>
              </w:rPr>
              <w:t>veikatos priežiūros paslaugų prieinamum</w:t>
            </w:r>
            <w:r w:rsidR="00964B41" w:rsidRPr="00EC247F">
              <w:rPr>
                <w:lang w:val="lt-LT"/>
              </w:rPr>
              <w:t xml:space="preserve">ą gyventojams. Šeimos gydytojai yra pirmieji </w:t>
            </w:r>
            <w:r w:rsidR="00964B41" w:rsidRPr="00EC247F">
              <w:rPr>
                <w:lang w:val="lt-LT"/>
              </w:rPr>
              <w:lastRenderedPageBreak/>
              <w:t>medicinos specialistai, į kuriuos kreipiamasi susidūrus su sveikatos problemomis</w:t>
            </w:r>
            <w:r w:rsidR="00A741A4" w:rsidRPr="00EC247F">
              <w:rPr>
                <w:lang w:val="lt-LT"/>
              </w:rPr>
              <w:t>, todėl šis rodiklis atspindi pirminės medicininės pagalbos prieinamumą.</w:t>
            </w:r>
          </w:p>
          <w:p w14:paraId="2B7085AF" w14:textId="77777777" w:rsidR="00964B41" w:rsidRPr="00EC247F" w:rsidRDefault="00964B41" w:rsidP="009A2AC0">
            <w:pPr>
              <w:rPr>
                <w:lang w:val="lt-LT"/>
              </w:rPr>
            </w:pPr>
          </w:p>
          <w:p w14:paraId="0C820C40" w14:textId="309D5566" w:rsidR="00906A41" w:rsidRPr="00EC247F" w:rsidRDefault="00964B41" w:rsidP="00B55DA4">
            <w:pPr>
              <w:rPr>
                <w:lang w:val="lt-LT"/>
              </w:rPr>
            </w:pPr>
            <w:r w:rsidRPr="00593578">
              <w:rPr>
                <w:i/>
                <w:lang w:val="lt-LT"/>
              </w:rPr>
              <w:t>Į šio rodiklio skaičiavimus įtraukti tik praktikuojantys šeimos gydytojai, t. y. asmenys, turintys universitetinį medicininį išsilavinimą (gydytojo diplomą) ir teikiantys asmens sveikatos priežiūros paslaugas pacientams</w:t>
            </w:r>
            <w:r w:rsidRPr="00EC247F">
              <w:rPr>
                <w:rStyle w:val="FootnoteReference"/>
                <w:lang w:val="lt-LT"/>
              </w:rPr>
              <w:footnoteReference w:id="73"/>
            </w:r>
            <w:r w:rsidRPr="00EC247F">
              <w:rPr>
                <w:lang w:val="lt-LT"/>
              </w:rPr>
              <w:t>.</w:t>
            </w:r>
          </w:p>
        </w:tc>
      </w:tr>
      <w:tr w:rsidR="003D49CB" w:rsidRPr="00485D1C" w14:paraId="5873F80C" w14:textId="77777777" w:rsidTr="00AD1B26">
        <w:trPr>
          <w:jc w:val="center"/>
        </w:trPr>
        <w:tc>
          <w:tcPr>
            <w:tcW w:w="570" w:type="dxa"/>
          </w:tcPr>
          <w:p w14:paraId="096BC84C" w14:textId="3C5D9E64" w:rsidR="003D49CB" w:rsidRPr="00EC247F" w:rsidRDefault="00702435" w:rsidP="00CE7B7A">
            <w:pPr>
              <w:rPr>
                <w:lang w:val="lt-LT"/>
              </w:rPr>
            </w:pPr>
            <w:r>
              <w:rPr>
                <w:lang w:val="lt-LT"/>
              </w:rPr>
              <w:lastRenderedPageBreak/>
              <w:t>40.</w:t>
            </w:r>
          </w:p>
        </w:tc>
        <w:tc>
          <w:tcPr>
            <w:tcW w:w="3115" w:type="dxa"/>
          </w:tcPr>
          <w:p w14:paraId="06EFD292" w14:textId="63A1A44A" w:rsidR="003D49CB" w:rsidRPr="00EC247F" w:rsidRDefault="003D49CB" w:rsidP="004465AF">
            <w:pPr>
              <w:rPr>
                <w:lang w:val="lt-LT"/>
              </w:rPr>
            </w:pPr>
            <w:r w:rsidRPr="00EC247F">
              <w:rPr>
                <w:lang w:val="lt-LT"/>
              </w:rPr>
              <w:t xml:space="preserve">Vaikų ligų gydytojų skaičius 10 000 </w:t>
            </w:r>
            <w:r w:rsidR="004465AF" w:rsidRPr="00EC247F">
              <w:rPr>
                <w:lang w:val="lt-LT"/>
              </w:rPr>
              <w:t>atitinkamo amžiaus vaikų</w:t>
            </w:r>
          </w:p>
        </w:tc>
        <w:tc>
          <w:tcPr>
            <w:tcW w:w="2340" w:type="dxa"/>
          </w:tcPr>
          <w:p w14:paraId="5048A578" w14:textId="77777777" w:rsidR="003D49CB" w:rsidRPr="00EC247F" w:rsidRDefault="004465AF" w:rsidP="00AF6A11">
            <w:pPr>
              <w:rPr>
                <w:lang w:val="lt-LT"/>
              </w:rPr>
            </w:pPr>
            <w:r w:rsidRPr="00EC247F">
              <w:rPr>
                <w:lang w:val="lt-LT"/>
              </w:rPr>
              <w:t>Savivaldybės</w:t>
            </w:r>
          </w:p>
          <w:p w14:paraId="396DDF0A" w14:textId="0E00C84F" w:rsidR="004465AF" w:rsidRPr="00EC247F" w:rsidRDefault="004465AF" w:rsidP="00AF6A11">
            <w:pPr>
              <w:rPr>
                <w:lang w:val="lt-LT"/>
              </w:rPr>
            </w:pPr>
            <w:r w:rsidRPr="00EC247F">
              <w:rPr>
                <w:lang w:val="lt-LT"/>
              </w:rPr>
              <w:t>Amžius (0-6; 7-17)</w:t>
            </w:r>
          </w:p>
        </w:tc>
        <w:tc>
          <w:tcPr>
            <w:tcW w:w="1727" w:type="dxa"/>
          </w:tcPr>
          <w:p w14:paraId="47125EB8" w14:textId="26A94914" w:rsidR="003D49CB" w:rsidRPr="00EC247F" w:rsidRDefault="00623039" w:rsidP="00695B8A">
            <w:pPr>
              <w:rPr>
                <w:lang w:val="lt-LT"/>
              </w:rPr>
            </w:pPr>
            <w:r>
              <w:rPr>
                <w:lang w:val="lt-LT"/>
              </w:rPr>
              <w:t>Dalinai skelbiama (nėra savivaldybių dimensijos)</w:t>
            </w:r>
          </w:p>
        </w:tc>
        <w:tc>
          <w:tcPr>
            <w:tcW w:w="1243" w:type="dxa"/>
            <w:gridSpan w:val="2"/>
          </w:tcPr>
          <w:p w14:paraId="26C89BC0" w14:textId="2A78A946" w:rsidR="003D49CB" w:rsidRPr="00EC247F" w:rsidRDefault="007D4297" w:rsidP="00BF5DFB">
            <w:pPr>
              <w:rPr>
                <w:lang w:val="lt-LT"/>
              </w:rPr>
            </w:pPr>
            <w:r w:rsidRPr="00EC247F">
              <w:rPr>
                <w:lang w:val="lt-LT"/>
              </w:rPr>
              <w:t>HI (SIC)/ LSD</w:t>
            </w:r>
          </w:p>
        </w:tc>
        <w:tc>
          <w:tcPr>
            <w:tcW w:w="6750" w:type="dxa"/>
          </w:tcPr>
          <w:p w14:paraId="30918094" w14:textId="1A026DD3" w:rsidR="004E6DA5" w:rsidRPr="00EC247F" w:rsidRDefault="004465AF" w:rsidP="004465AF">
            <w:pPr>
              <w:rPr>
                <w:lang w:val="lt-LT"/>
              </w:rPr>
            </w:pPr>
            <w:r w:rsidRPr="00EC247F">
              <w:rPr>
                <w:lang w:val="lt-LT"/>
              </w:rPr>
              <w:t>Fizinė, emocinė, psichologinė sveikata yra sudėtinės asmens gerovės dalys</w:t>
            </w:r>
            <w:r w:rsidRPr="00EC247F">
              <w:rPr>
                <w:vertAlign w:val="superscript"/>
                <w:lang w:val="lt-LT"/>
              </w:rPr>
              <w:footnoteReference w:id="74"/>
            </w:r>
            <w:r w:rsidRPr="00EC247F">
              <w:rPr>
                <w:lang w:val="lt-LT"/>
              </w:rPr>
              <w:t xml:space="preserve">, todėl svarbu užtikrinti sveikatos priežiūros paslaugų prieinamumą gyventojams. </w:t>
            </w:r>
            <w:r w:rsidR="004E6DA5" w:rsidRPr="00EC247F">
              <w:rPr>
                <w:lang w:val="lt-LT"/>
              </w:rPr>
              <w:t xml:space="preserve">Vaikams reikalinga specializuota medicininė priežiūra, kvalifikuoti gydytojai, galintys </w:t>
            </w:r>
            <w:r w:rsidR="004E6DA5" w:rsidRPr="00593578">
              <w:rPr>
                <w:i/>
                <w:lang w:val="lt-LT"/>
              </w:rPr>
              <w:t>patarti tėvams dėl vaiko priežiūros pirmaisiais jo gyvenimo metais, padėti jiems pastebėti pirmuosius ligų simptomus, sugebėti užkirsti kelią naujoms ligoms, tinkamai gydyti ir išsaugoti vaikų sveikatą</w:t>
            </w:r>
            <w:r w:rsidR="004E6DA5" w:rsidRPr="00EC247F">
              <w:rPr>
                <w:rStyle w:val="FootnoteReference"/>
                <w:lang w:val="lt-LT"/>
              </w:rPr>
              <w:footnoteReference w:id="75"/>
            </w:r>
            <w:r w:rsidR="004E6DA5" w:rsidRPr="00EC247F">
              <w:rPr>
                <w:lang w:val="lt-LT"/>
              </w:rPr>
              <w:t>.</w:t>
            </w:r>
          </w:p>
          <w:p w14:paraId="35D92BAC" w14:textId="77777777" w:rsidR="004E6DA5" w:rsidRPr="00EC247F" w:rsidRDefault="004E6DA5" w:rsidP="004465AF">
            <w:pPr>
              <w:rPr>
                <w:lang w:val="lt-LT"/>
              </w:rPr>
            </w:pPr>
          </w:p>
          <w:p w14:paraId="790BE598" w14:textId="782A9D15" w:rsidR="003D49CB" w:rsidRPr="00EC247F" w:rsidRDefault="00DB6576" w:rsidP="00B55DA4">
            <w:pPr>
              <w:rPr>
                <w:lang w:val="lt-LT"/>
              </w:rPr>
            </w:pPr>
            <w:r w:rsidRPr="00593578">
              <w:rPr>
                <w:i/>
                <w:lang w:val="lt-LT"/>
              </w:rPr>
              <w:t xml:space="preserve">Į šio rodiklio skaičiavimus įtraukti </w:t>
            </w:r>
            <w:r w:rsidR="00B55DA4" w:rsidRPr="00593578">
              <w:rPr>
                <w:i/>
                <w:lang w:val="lt-LT"/>
              </w:rPr>
              <w:t xml:space="preserve">visų specializacijų </w:t>
            </w:r>
            <w:r w:rsidRPr="00593578">
              <w:rPr>
                <w:i/>
                <w:lang w:val="lt-LT"/>
              </w:rPr>
              <w:t>vaikų ligų gydyt</w:t>
            </w:r>
            <w:r w:rsidR="00B55DA4" w:rsidRPr="00593578">
              <w:rPr>
                <w:i/>
                <w:lang w:val="lt-LT"/>
              </w:rPr>
              <w:t xml:space="preserve">ojai (pediatrai, </w:t>
            </w:r>
            <w:proofErr w:type="spellStart"/>
            <w:r w:rsidRPr="00593578">
              <w:rPr>
                <w:i/>
                <w:lang w:val="lt-LT"/>
              </w:rPr>
              <w:t>neonatologai</w:t>
            </w:r>
            <w:proofErr w:type="spellEnd"/>
            <w:r w:rsidRPr="00593578">
              <w:rPr>
                <w:i/>
                <w:lang w:val="lt-LT"/>
              </w:rPr>
              <w:t xml:space="preserve">, vaikų kardiologai, vaikų endokrinologai, vaikų pulmonologai, vaikų </w:t>
            </w:r>
            <w:proofErr w:type="spellStart"/>
            <w:r w:rsidRPr="00593578">
              <w:rPr>
                <w:i/>
                <w:lang w:val="lt-LT"/>
              </w:rPr>
              <w:t>nefrologai</w:t>
            </w:r>
            <w:proofErr w:type="spellEnd"/>
            <w:r w:rsidRPr="00593578">
              <w:rPr>
                <w:i/>
                <w:lang w:val="lt-LT"/>
              </w:rPr>
              <w:t>, vaikų hematologai, vaikų alergologai, vaikų gastroenterologai, vaikų intensyvios terapijos gydytojai, vaikų neurologai ir kiti ambulatoriniame ir stacionariniame lygyje dirbantys gydytojai)</w:t>
            </w:r>
            <w:r w:rsidRPr="00EC247F">
              <w:rPr>
                <w:lang w:val="lt-LT"/>
              </w:rPr>
              <w:t>.</w:t>
            </w:r>
            <w:r w:rsidR="00593578">
              <w:rPr>
                <w:rStyle w:val="FootnoteReference"/>
                <w:lang w:val="lt-LT"/>
              </w:rPr>
              <w:footnoteReference w:id="76"/>
            </w:r>
          </w:p>
        </w:tc>
      </w:tr>
      <w:tr w:rsidR="00A974AE" w:rsidRPr="00EC247F" w14:paraId="4798B8A0" w14:textId="77777777" w:rsidTr="00AD1B26">
        <w:trPr>
          <w:jc w:val="center"/>
        </w:trPr>
        <w:tc>
          <w:tcPr>
            <w:tcW w:w="570" w:type="dxa"/>
          </w:tcPr>
          <w:p w14:paraId="73FFB9B3" w14:textId="58FE7B9D" w:rsidR="00A974AE" w:rsidRPr="00EC247F" w:rsidRDefault="00A974AE" w:rsidP="00695B8A">
            <w:pPr>
              <w:rPr>
                <w:b/>
                <w:lang w:val="lt-LT"/>
              </w:rPr>
            </w:pPr>
          </w:p>
        </w:tc>
        <w:tc>
          <w:tcPr>
            <w:tcW w:w="15175" w:type="dxa"/>
            <w:gridSpan w:val="6"/>
          </w:tcPr>
          <w:p w14:paraId="348403F6" w14:textId="77777777" w:rsidR="00A974AE" w:rsidRPr="00EC247F" w:rsidRDefault="00A974AE" w:rsidP="008F32C9">
            <w:pPr>
              <w:jc w:val="center"/>
              <w:rPr>
                <w:b/>
                <w:lang w:val="lt-LT"/>
              </w:rPr>
            </w:pPr>
            <w:r w:rsidRPr="00EC247F">
              <w:rPr>
                <w:b/>
                <w:lang w:val="lt-LT"/>
              </w:rPr>
              <w:t>Smurtas viešoje erdvėje ir artimoje aplinkoje</w:t>
            </w:r>
          </w:p>
        </w:tc>
      </w:tr>
      <w:tr w:rsidR="00D67815" w:rsidRPr="00EC247F" w14:paraId="06FEA8A5" w14:textId="77777777" w:rsidTr="00AD1B26">
        <w:trPr>
          <w:jc w:val="center"/>
        </w:trPr>
        <w:tc>
          <w:tcPr>
            <w:tcW w:w="570" w:type="dxa"/>
            <w:shd w:val="clear" w:color="auto" w:fill="FFFFFF" w:themeFill="background1"/>
          </w:tcPr>
          <w:p w14:paraId="48EFBE2C" w14:textId="79A83FF9" w:rsidR="00D67815" w:rsidRPr="00EC247F" w:rsidRDefault="00D67815" w:rsidP="00741A16">
            <w:pPr>
              <w:rPr>
                <w:lang w:val="lt-LT"/>
              </w:rPr>
            </w:pPr>
            <w:r w:rsidRPr="00EC247F">
              <w:rPr>
                <w:lang w:val="lt-LT"/>
              </w:rPr>
              <w:t>4</w:t>
            </w:r>
            <w:r w:rsidR="00702435">
              <w:rPr>
                <w:lang w:val="lt-LT"/>
              </w:rPr>
              <w:t>1</w:t>
            </w:r>
            <w:r w:rsidRPr="00EC247F">
              <w:rPr>
                <w:lang w:val="lt-LT"/>
              </w:rPr>
              <w:t>.</w:t>
            </w:r>
          </w:p>
        </w:tc>
        <w:tc>
          <w:tcPr>
            <w:tcW w:w="3115" w:type="dxa"/>
            <w:shd w:val="clear" w:color="auto" w:fill="FFFFFF" w:themeFill="background1"/>
          </w:tcPr>
          <w:p w14:paraId="305F74FA" w14:textId="77C5A22A" w:rsidR="00D67815" w:rsidRPr="00EC247F" w:rsidRDefault="00D67815" w:rsidP="007D4297">
            <w:pPr>
              <w:rPr>
                <w:lang w:val="lt-LT"/>
              </w:rPr>
            </w:pPr>
            <w:r w:rsidRPr="00EC247F">
              <w:rPr>
                <w:lang w:val="lt-LT"/>
              </w:rPr>
              <w:t xml:space="preserve">Užregistruotų </w:t>
            </w:r>
            <w:r w:rsidR="007D4297" w:rsidRPr="00EC247F">
              <w:rPr>
                <w:lang w:val="lt-LT"/>
              </w:rPr>
              <w:t>seksualinės prievartos nusikaltimų</w:t>
            </w:r>
            <w:r w:rsidRPr="00EC247F">
              <w:rPr>
                <w:lang w:val="lt-LT"/>
              </w:rPr>
              <w:t xml:space="preserve"> skaičius, tenkantis 100 tūkst. gyventojų</w:t>
            </w:r>
          </w:p>
        </w:tc>
        <w:tc>
          <w:tcPr>
            <w:tcW w:w="2340" w:type="dxa"/>
          </w:tcPr>
          <w:p w14:paraId="44857682" w14:textId="6725BF3B" w:rsidR="00D67815" w:rsidRDefault="001B4233" w:rsidP="00371FDE">
            <w:pPr>
              <w:rPr>
                <w:lang w:val="lt-LT"/>
              </w:rPr>
            </w:pPr>
            <w:r>
              <w:rPr>
                <w:lang w:val="lt-LT"/>
              </w:rPr>
              <w:t>Savivaldybės</w:t>
            </w:r>
          </w:p>
          <w:p w14:paraId="7CD4426B" w14:textId="6CDE0A7E" w:rsidR="0000526C" w:rsidRPr="00EC247F" w:rsidRDefault="0000526C" w:rsidP="00371FDE">
            <w:pPr>
              <w:rPr>
                <w:lang w:val="lt-LT"/>
              </w:rPr>
            </w:pPr>
            <w:r w:rsidRPr="00EC247F">
              <w:rPr>
                <w:lang w:val="lt-LT"/>
              </w:rPr>
              <w:t>Nusikaltimo pobūdis</w:t>
            </w:r>
            <w:r w:rsidR="00F03C27">
              <w:rPr>
                <w:lang w:val="lt-LT"/>
              </w:rPr>
              <w:t xml:space="preserve">: </w:t>
            </w:r>
          </w:p>
          <w:p w14:paraId="436448EC" w14:textId="387F0B38" w:rsidR="0000526C" w:rsidRPr="00EC247F" w:rsidRDefault="0000526C" w:rsidP="00371FDE">
            <w:pPr>
              <w:rPr>
                <w:lang w:val="lt-LT"/>
              </w:rPr>
            </w:pPr>
            <w:r w:rsidRPr="00EC247F">
              <w:rPr>
                <w:lang w:val="lt-LT"/>
              </w:rPr>
              <w:t>a) Viešojoje erdvėje</w:t>
            </w:r>
          </w:p>
          <w:p w14:paraId="794E6B7C" w14:textId="1C55E2FC" w:rsidR="0000526C" w:rsidRPr="00EC247F" w:rsidRDefault="0000526C" w:rsidP="0000526C">
            <w:pPr>
              <w:rPr>
                <w:lang w:val="lt-LT"/>
              </w:rPr>
            </w:pPr>
            <w:r w:rsidRPr="00EC247F">
              <w:rPr>
                <w:lang w:val="lt-LT"/>
              </w:rPr>
              <w:t>b) Artimoje aplinkoje</w:t>
            </w:r>
          </w:p>
          <w:p w14:paraId="5917703D" w14:textId="6B538725" w:rsidR="0000526C" w:rsidRPr="00EC247F" w:rsidRDefault="0000526C" w:rsidP="00371FDE">
            <w:pPr>
              <w:rPr>
                <w:lang w:val="lt-LT"/>
              </w:rPr>
            </w:pPr>
          </w:p>
        </w:tc>
        <w:tc>
          <w:tcPr>
            <w:tcW w:w="1727" w:type="dxa"/>
          </w:tcPr>
          <w:p w14:paraId="76D00E14" w14:textId="77777777" w:rsidR="00D67815" w:rsidRDefault="00D67815" w:rsidP="00695B8A">
            <w:pPr>
              <w:rPr>
                <w:lang w:val="lt-LT"/>
              </w:rPr>
            </w:pPr>
            <w:r w:rsidRPr="00EC247F">
              <w:rPr>
                <w:lang w:val="lt-LT"/>
              </w:rPr>
              <w:t>Nuo 1993 m.</w:t>
            </w:r>
          </w:p>
          <w:p w14:paraId="7339B0B2" w14:textId="3DF4E09C" w:rsidR="002515B5" w:rsidRPr="00EC247F" w:rsidRDefault="002515B5" w:rsidP="001B4233">
            <w:pPr>
              <w:rPr>
                <w:lang w:val="lt-LT"/>
              </w:rPr>
            </w:pPr>
            <w:r>
              <w:rPr>
                <w:lang w:val="lt-LT"/>
              </w:rPr>
              <w:t xml:space="preserve">Dalinai skelbiama </w:t>
            </w:r>
            <w:r w:rsidR="001B4233">
              <w:rPr>
                <w:lang w:val="lt-LT"/>
              </w:rPr>
              <w:t xml:space="preserve">(trūksta nusikaltimo pobūdžio </w:t>
            </w:r>
            <w:r w:rsidR="001B4233">
              <w:rPr>
                <w:lang w:val="lt-LT"/>
              </w:rPr>
              <w:lastRenderedPageBreak/>
              <w:t>dimensijos)</w:t>
            </w:r>
          </w:p>
        </w:tc>
        <w:tc>
          <w:tcPr>
            <w:tcW w:w="1243" w:type="dxa"/>
            <w:gridSpan w:val="2"/>
          </w:tcPr>
          <w:p w14:paraId="073C8305" w14:textId="77777777" w:rsidR="00D67815" w:rsidRPr="00EC247F" w:rsidRDefault="00D67815" w:rsidP="00695B8A">
            <w:pPr>
              <w:rPr>
                <w:lang w:val="lt-LT"/>
              </w:rPr>
            </w:pPr>
            <w:r w:rsidRPr="00EC247F">
              <w:rPr>
                <w:lang w:val="lt-LT"/>
              </w:rPr>
              <w:lastRenderedPageBreak/>
              <w:t>LSD</w:t>
            </w:r>
          </w:p>
        </w:tc>
        <w:tc>
          <w:tcPr>
            <w:tcW w:w="6750" w:type="dxa"/>
          </w:tcPr>
          <w:p w14:paraId="7202ABC8" w14:textId="1E14D60F" w:rsidR="007D4297" w:rsidRPr="00EC247F" w:rsidRDefault="007D4297" w:rsidP="00A023F6">
            <w:pPr>
              <w:rPr>
                <w:lang w:val="lt-LT"/>
              </w:rPr>
            </w:pPr>
            <w:r w:rsidRPr="00EC247F">
              <w:rPr>
                <w:lang w:val="lt-LT"/>
              </w:rPr>
              <w:t xml:space="preserve">Seksualinė prievarta yra rimta žmogaus teisių, visuomenės sveikatos ir gerovės problema, sukelianti </w:t>
            </w:r>
            <w:r w:rsidR="005578AF" w:rsidRPr="00EC247F">
              <w:rPr>
                <w:lang w:val="lt-LT"/>
              </w:rPr>
              <w:t>ilgalaikių</w:t>
            </w:r>
            <w:r w:rsidRPr="00EC247F">
              <w:rPr>
                <w:lang w:val="lt-LT"/>
              </w:rPr>
              <w:t xml:space="preserve"> neigiamų pasekmių prievartos aukoms</w:t>
            </w:r>
            <w:r w:rsidRPr="00EC247F">
              <w:rPr>
                <w:rStyle w:val="FootnoteReference"/>
                <w:lang w:val="lt-LT"/>
              </w:rPr>
              <w:footnoteReference w:id="77"/>
            </w:r>
            <w:r w:rsidR="005578AF" w:rsidRPr="00EC247F">
              <w:rPr>
                <w:lang w:val="lt-LT"/>
              </w:rPr>
              <w:t>. Nepriklausomai nuo to, ar seksualinė prievarta vyksta artimoje aplinkoje ar viešojoje erdvėje</w:t>
            </w:r>
            <w:r w:rsidR="002A128D" w:rsidRPr="00EC247F">
              <w:rPr>
                <w:lang w:val="lt-LT"/>
              </w:rPr>
              <w:t>, kiekviena visuomenė suinteresuota, kad tokių nusikaltimų būtų kuo mažiau.</w:t>
            </w:r>
          </w:p>
          <w:p w14:paraId="7A5EE12A" w14:textId="77777777" w:rsidR="005578AF" w:rsidRPr="00EC247F" w:rsidRDefault="005578AF" w:rsidP="00A023F6">
            <w:pPr>
              <w:rPr>
                <w:lang w:val="lt-LT"/>
              </w:rPr>
            </w:pPr>
          </w:p>
          <w:p w14:paraId="1CE3EA3E" w14:textId="6461602F" w:rsidR="00D67815" w:rsidRPr="00EC247F" w:rsidRDefault="00A023F6" w:rsidP="00A023F6">
            <w:pPr>
              <w:rPr>
                <w:lang w:val="lt-LT"/>
              </w:rPr>
            </w:pPr>
            <w:r w:rsidRPr="00EC247F">
              <w:rPr>
                <w:lang w:val="lt-LT"/>
              </w:rPr>
              <w:t xml:space="preserve">Rodiklis rodo, kiek užregistruotų </w:t>
            </w:r>
            <w:r w:rsidR="002A128D" w:rsidRPr="00EC247F">
              <w:rPr>
                <w:lang w:val="lt-LT"/>
              </w:rPr>
              <w:t xml:space="preserve">visų rūšių seksualinės prievartos nusikaltimų </w:t>
            </w:r>
            <w:r w:rsidRPr="00EC247F">
              <w:rPr>
                <w:lang w:val="lt-LT"/>
              </w:rPr>
              <w:t>tenka 1</w:t>
            </w:r>
            <w:r w:rsidR="002A128D" w:rsidRPr="00EC247F">
              <w:rPr>
                <w:lang w:val="lt-LT"/>
              </w:rPr>
              <w:t>00</w:t>
            </w:r>
            <w:r w:rsidRPr="00EC247F">
              <w:rPr>
                <w:lang w:val="lt-LT"/>
              </w:rPr>
              <w:t xml:space="preserve"> tūkst. gyventojų.</w:t>
            </w:r>
            <w:r w:rsidR="00DB5FFC" w:rsidRPr="00EC247F">
              <w:rPr>
                <w:lang w:val="lt-LT"/>
              </w:rPr>
              <w:t xml:space="preserve"> </w:t>
            </w:r>
            <w:r w:rsidR="002515B5" w:rsidRPr="002515B5">
              <w:rPr>
                <w:lang w:val="lt-LT"/>
              </w:rPr>
              <w:t xml:space="preserve">Vis dėlto, interpretuojant rodiklio reikšmes svarbu nepamiršti, kad seksualiniai nusikaltimai pasižymi dideliu </w:t>
            </w:r>
            <w:proofErr w:type="spellStart"/>
            <w:r w:rsidR="002515B5" w:rsidRPr="002515B5">
              <w:rPr>
                <w:lang w:val="lt-LT"/>
              </w:rPr>
              <w:t>latentiškumo</w:t>
            </w:r>
            <w:proofErr w:type="spellEnd"/>
            <w:r w:rsidR="002515B5" w:rsidRPr="002515B5">
              <w:rPr>
                <w:lang w:val="lt-LT"/>
              </w:rPr>
              <w:t xml:space="preserve"> laipsniu, kuomet tik nedidelė dalis aukų praneša apie įvykusį nusikaltimą.</w:t>
            </w:r>
          </w:p>
          <w:p w14:paraId="6E9E137A" w14:textId="77777777" w:rsidR="007D4297" w:rsidRPr="00EC247F" w:rsidRDefault="007D4297" w:rsidP="00A023F6">
            <w:pPr>
              <w:rPr>
                <w:lang w:val="lt-LT"/>
              </w:rPr>
            </w:pPr>
          </w:p>
          <w:p w14:paraId="377B0F17" w14:textId="5D566CAF" w:rsidR="007D4297" w:rsidRPr="00EC247F" w:rsidRDefault="007D4297" w:rsidP="007D4297">
            <w:pPr>
              <w:rPr>
                <w:lang w:val="lt-LT"/>
              </w:rPr>
            </w:pPr>
            <w:r w:rsidRPr="00EC247F">
              <w:rPr>
                <w:i/>
                <w:lang w:val="lt-LT"/>
              </w:rPr>
              <w:t>Prie seksualinės prievartos priskiriamas išžaginimas ir kiti seksualiniai išpuoliai. Išžaginimas apibrėžiamas kaip lytiniai santykiai be sutikimo, o seksualinis išpuolis reiškia seksualinę prievartą, neprilyginamą išžaginimui. Seksualinis išpuolis gali būti nepageidaujamas lytinis aktas, bandymas atlikti seksualinį aktą arba kontaktas ar bendravimas, susijęs su nepageidaujamu seksualinio pobūdžio elgesiu, neprilyginamu išžaginimui. Prie šios nusikalstamos veikos taip pat priskiriami seksualiniai išpuoliai su fiziniu kontaktu ar be jo, įskaitant seksualinius išpuolius pasitelkiant narkotikus, seksualinius išpuolius prieš santuokinį partnerį prieš jos ar jo valią, seksualinius išpuolius prieš bejėgį asmenį, nepageidaujamą graibymą, seksualinio pobūdžio priekabiavimą ir grasinimus. Duomenys susiję tik su policijos užregistruota nusikalstama veika</w:t>
            </w:r>
            <w:r w:rsidRPr="00EC247F">
              <w:rPr>
                <w:rStyle w:val="FootnoteReference"/>
                <w:lang w:val="lt-LT"/>
              </w:rPr>
              <w:footnoteReference w:id="78"/>
            </w:r>
            <w:r w:rsidRPr="00EC247F">
              <w:rPr>
                <w:lang w:val="lt-LT"/>
              </w:rPr>
              <w:t>.</w:t>
            </w:r>
          </w:p>
        </w:tc>
      </w:tr>
      <w:tr w:rsidR="00D67815" w:rsidRPr="00485D1C" w14:paraId="2ACA2F15" w14:textId="77777777" w:rsidTr="00AD1B26">
        <w:trPr>
          <w:jc w:val="center"/>
        </w:trPr>
        <w:tc>
          <w:tcPr>
            <w:tcW w:w="570" w:type="dxa"/>
          </w:tcPr>
          <w:p w14:paraId="729879C3" w14:textId="080C7A46" w:rsidR="00D67815" w:rsidRPr="00EC247F" w:rsidRDefault="00D67815" w:rsidP="00695B8A">
            <w:pPr>
              <w:rPr>
                <w:lang w:val="lt-LT"/>
              </w:rPr>
            </w:pPr>
            <w:r w:rsidRPr="00EC247F">
              <w:rPr>
                <w:lang w:val="lt-LT"/>
              </w:rPr>
              <w:lastRenderedPageBreak/>
              <w:t>4</w:t>
            </w:r>
            <w:r w:rsidR="00702435">
              <w:rPr>
                <w:lang w:val="lt-LT"/>
              </w:rPr>
              <w:t>2</w:t>
            </w:r>
            <w:r w:rsidRPr="00EC247F">
              <w:rPr>
                <w:lang w:val="lt-LT"/>
              </w:rPr>
              <w:t>.</w:t>
            </w:r>
          </w:p>
        </w:tc>
        <w:tc>
          <w:tcPr>
            <w:tcW w:w="3115" w:type="dxa"/>
          </w:tcPr>
          <w:p w14:paraId="5E84140A" w14:textId="77777777" w:rsidR="00D67815" w:rsidRPr="00EC247F" w:rsidRDefault="00D67815" w:rsidP="00695B8A">
            <w:pPr>
              <w:rPr>
                <w:lang w:val="lt-LT"/>
              </w:rPr>
            </w:pPr>
            <w:r w:rsidRPr="00EC247F">
              <w:rPr>
                <w:lang w:val="lt-LT"/>
              </w:rPr>
              <w:t>Užregistruoti nusikaltimai dėl smurto artimoje aplinkoje</w:t>
            </w:r>
          </w:p>
        </w:tc>
        <w:tc>
          <w:tcPr>
            <w:tcW w:w="2340" w:type="dxa"/>
          </w:tcPr>
          <w:p w14:paraId="0C01BA8C" w14:textId="77777777" w:rsidR="00D67815" w:rsidRPr="00EC247F" w:rsidRDefault="00D67815" w:rsidP="00BF5DFB">
            <w:pPr>
              <w:rPr>
                <w:lang w:val="lt-LT"/>
              </w:rPr>
            </w:pPr>
            <w:r w:rsidRPr="00EC247F">
              <w:rPr>
                <w:lang w:val="lt-LT"/>
              </w:rPr>
              <w:t xml:space="preserve">Savivaldybės </w:t>
            </w:r>
          </w:p>
          <w:p w14:paraId="715B0374" w14:textId="1B5F0FF0" w:rsidR="00A57D48" w:rsidRPr="00EC247F" w:rsidRDefault="00165807" w:rsidP="00A57D48">
            <w:pPr>
              <w:rPr>
                <w:lang w:val="lt-LT"/>
              </w:rPr>
            </w:pPr>
            <w:r>
              <w:rPr>
                <w:lang w:val="lt-LT"/>
              </w:rPr>
              <w:t xml:space="preserve">Matavimo vienetai: </w:t>
            </w:r>
          </w:p>
          <w:p w14:paraId="4BA065A3" w14:textId="12EC86BE" w:rsidR="00A57D48" w:rsidRPr="00EC247F" w:rsidRDefault="00A57D48" w:rsidP="001647AE">
            <w:pPr>
              <w:rPr>
                <w:lang w:val="lt-LT"/>
              </w:rPr>
            </w:pPr>
            <w:r w:rsidRPr="00EC247F">
              <w:rPr>
                <w:lang w:val="lt-LT"/>
              </w:rPr>
              <w:t xml:space="preserve">a) tenka </w:t>
            </w:r>
            <w:r w:rsidR="001647AE" w:rsidRPr="00EC247F">
              <w:rPr>
                <w:lang w:val="lt-LT"/>
              </w:rPr>
              <w:t xml:space="preserve">100 tūkst. </w:t>
            </w:r>
            <w:r w:rsidRPr="00EC247F">
              <w:rPr>
                <w:lang w:val="lt-LT"/>
              </w:rPr>
              <w:t xml:space="preserve">gyventojų; a) palyginti su visais užregistruotais nusikaltimais, </w:t>
            </w:r>
            <w:r w:rsidR="00970F6B" w:rsidRPr="00EC247F">
              <w:rPr>
                <w:lang w:val="lt-LT"/>
              </w:rPr>
              <w:t>procentais</w:t>
            </w:r>
            <w:r w:rsidR="00165807">
              <w:rPr>
                <w:lang w:val="lt-LT"/>
              </w:rPr>
              <w:t xml:space="preserve">. </w:t>
            </w:r>
          </w:p>
        </w:tc>
        <w:tc>
          <w:tcPr>
            <w:tcW w:w="1727" w:type="dxa"/>
          </w:tcPr>
          <w:p w14:paraId="3CD339B4" w14:textId="77777777" w:rsidR="00D67815" w:rsidRDefault="00D67815" w:rsidP="00BF5DFB">
            <w:pPr>
              <w:rPr>
                <w:lang w:val="lt-LT"/>
              </w:rPr>
            </w:pPr>
            <w:r w:rsidRPr="00EC247F">
              <w:rPr>
                <w:lang w:val="lt-LT"/>
              </w:rPr>
              <w:t>Nuo 2012 m.</w:t>
            </w:r>
          </w:p>
          <w:p w14:paraId="6367F8A7" w14:textId="0E597AAC" w:rsidR="001E180C" w:rsidRPr="00EC247F" w:rsidRDefault="001E180C" w:rsidP="00BF5DFB">
            <w:pPr>
              <w:rPr>
                <w:lang w:val="lt-LT"/>
              </w:rPr>
            </w:pPr>
            <w:r>
              <w:rPr>
                <w:lang w:val="lt-LT"/>
              </w:rPr>
              <w:t>Skelbiama</w:t>
            </w:r>
          </w:p>
        </w:tc>
        <w:tc>
          <w:tcPr>
            <w:tcW w:w="1243" w:type="dxa"/>
            <w:gridSpan w:val="2"/>
          </w:tcPr>
          <w:p w14:paraId="26BB01BA" w14:textId="6EF3C609" w:rsidR="00D67815" w:rsidRPr="00EC247F" w:rsidRDefault="00D67815" w:rsidP="000D3256">
            <w:pPr>
              <w:rPr>
                <w:lang w:val="lt-LT"/>
              </w:rPr>
            </w:pPr>
            <w:r w:rsidRPr="00EC247F">
              <w:rPr>
                <w:lang w:val="lt-LT"/>
              </w:rPr>
              <w:t>LSD</w:t>
            </w:r>
            <w:r w:rsidR="00A57D48" w:rsidRPr="00EC247F">
              <w:rPr>
                <w:lang w:val="lt-LT"/>
              </w:rPr>
              <w:t xml:space="preserve">/ </w:t>
            </w:r>
            <w:r w:rsidR="000D3256" w:rsidRPr="00EC247F">
              <w:rPr>
                <w:lang w:val="lt-LT"/>
              </w:rPr>
              <w:t>IRD</w:t>
            </w:r>
          </w:p>
        </w:tc>
        <w:tc>
          <w:tcPr>
            <w:tcW w:w="6750" w:type="dxa"/>
          </w:tcPr>
          <w:p w14:paraId="3BA01DCB" w14:textId="560A5BE2" w:rsidR="009C1EB6" w:rsidRPr="00EC247F" w:rsidRDefault="009C1EB6" w:rsidP="00756416">
            <w:pPr>
              <w:rPr>
                <w:lang w:val="lt-LT"/>
              </w:rPr>
            </w:pPr>
            <w:r w:rsidRPr="00EC247F">
              <w:rPr>
                <w:lang w:val="lt-LT"/>
              </w:rPr>
              <w:t>Smurtas artimoje aplinkoje ne tik turi sunkių pasekmių jį patyrusiems, bet ir neigiamai veikia visuomenę, keldamas grėsmę šalies vystymuisi ir demokratijai. Todėl 2011 m. Lietuvoje buvo priimtas „Apsaugos nuo smurto artimoje aplinkoje įstatymas“, kurio tikslas – ginti asmenis nuo smurto artimoje aplinkoje. Dažniausiai nuo smurto artimoje aplinkoje nukenčia moterys</w:t>
            </w:r>
            <w:r w:rsidR="00856ACF" w:rsidRPr="00EC247F">
              <w:rPr>
                <w:lang w:val="lt-LT"/>
              </w:rPr>
              <w:t>.</w:t>
            </w:r>
          </w:p>
          <w:p w14:paraId="67D8B0B2" w14:textId="77777777" w:rsidR="00856ACF" w:rsidRPr="00EC247F" w:rsidRDefault="00856ACF" w:rsidP="00756416">
            <w:pPr>
              <w:rPr>
                <w:lang w:val="lt-LT"/>
              </w:rPr>
            </w:pPr>
          </w:p>
          <w:p w14:paraId="3DDB8A90" w14:textId="12459BFF" w:rsidR="009C1EB6" w:rsidRPr="00EC247F" w:rsidRDefault="00856ACF" w:rsidP="00756416">
            <w:pPr>
              <w:rPr>
                <w:lang w:val="lt-LT"/>
              </w:rPr>
            </w:pPr>
            <w:r w:rsidRPr="00EC247F">
              <w:rPr>
                <w:lang w:val="lt-LT"/>
              </w:rPr>
              <w:t xml:space="preserve">Rodiklis leidžia susidaryti pirminį vaizdą apie problemos mastą savivaldybėje. </w:t>
            </w:r>
          </w:p>
          <w:p w14:paraId="7EFF973E" w14:textId="77777777" w:rsidR="00856ACF" w:rsidRPr="00EC247F" w:rsidRDefault="00856ACF" w:rsidP="00756416">
            <w:pPr>
              <w:rPr>
                <w:lang w:val="lt-LT"/>
              </w:rPr>
            </w:pPr>
          </w:p>
          <w:p w14:paraId="6F3DF4FD" w14:textId="2A45E9A4" w:rsidR="00756416" w:rsidRPr="00EC247F" w:rsidRDefault="00756416" w:rsidP="00756416">
            <w:pPr>
              <w:rPr>
                <w:lang w:val="lt-LT"/>
              </w:rPr>
            </w:pPr>
            <w:r w:rsidRPr="00EC247F">
              <w:rPr>
                <w:lang w:val="lt-LT"/>
              </w:rPr>
              <w:t xml:space="preserve">a) Rodiklis rodo, kiek užregistruotų nusikaltimų </w:t>
            </w:r>
            <w:r w:rsidR="007D476C" w:rsidRPr="00EC247F">
              <w:rPr>
                <w:lang w:val="lt-LT"/>
              </w:rPr>
              <w:t>dėl</w:t>
            </w:r>
            <w:r w:rsidRPr="00EC247F">
              <w:rPr>
                <w:lang w:val="lt-LT"/>
              </w:rPr>
              <w:t xml:space="preserve"> smurto artimoje aplinkoje tenka 1</w:t>
            </w:r>
            <w:r w:rsidR="004D498F" w:rsidRPr="00EC247F">
              <w:rPr>
                <w:lang w:val="lt-LT"/>
              </w:rPr>
              <w:t>00</w:t>
            </w:r>
            <w:r w:rsidRPr="00EC247F">
              <w:rPr>
                <w:lang w:val="lt-LT"/>
              </w:rPr>
              <w:t xml:space="preserve"> tūkst. gyventojų.</w:t>
            </w:r>
          </w:p>
          <w:p w14:paraId="36EC857F" w14:textId="2DA2593C" w:rsidR="00D67815" w:rsidRPr="00EC247F" w:rsidRDefault="00756416" w:rsidP="00856ACF">
            <w:pPr>
              <w:rPr>
                <w:lang w:val="lt-LT"/>
              </w:rPr>
            </w:pPr>
            <w:r w:rsidRPr="00EC247F">
              <w:rPr>
                <w:lang w:val="lt-LT"/>
              </w:rPr>
              <w:lastRenderedPageBreak/>
              <w:t xml:space="preserve">b) Rodiklis rodo, kokią </w:t>
            </w:r>
            <w:r w:rsidR="003177B3" w:rsidRPr="00EC247F">
              <w:rPr>
                <w:lang w:val="lt-LT"/>
              </w:rPr>
              <w:t xml:space="preserve">procentinę </w:t>
            </w:r>
            <w:r w:rsidRPr="00EC247F">
              <w:rPr>
                <w:lang w:val="lt-LT"/>
              </w:rPr>
              <w:t xml:space="preserve">dalį visų užregistruotų nusikaltimų sudaro </w:t>
            </w:r>
            <w:r w:rsidR="003177B3" w:rsidRPr="00EC247F">
              <w:rPr>
                <w:lang w:val="lt-LT"/>
              </w:rPr>
              <w:t>užregistruoti nusikaltimai dėl smurto artimoje aplinkoje.</w:t>
            </w:r>
            <w:r w:rsidR="00DB5FFC" w:rsidRPr="00EC247F">
              <w:rPr>
                <w:lang w:val="lt-LT"/>
              </w:rPr>
              <w:t xml:space="preserve"> </w:t>
            </w:r>
          </w:p>
        </w:tc>
      </w:tr>
      <w:tr w:rsidR="00D67815" w:rsidRPr="00485D1C" w14:paraId="3A194E6D" w14:textId="77777777" w:rsidTr="00AD1B26">
        <w:trPr>
          <w:trHeight w:val="3127"/>
          <w:jc w:val="center"/>
        </w:trPr>
        <w:tc>
          <w:tcPr>
            <w:tcW w:w="570" w:type="dxa"/>
          </w:tcPr>
          <w:p w14:paraId="297CF938" w14:textId="65323FF9" w:rsidR="00D67815" w:rsidRPr="00EC247F" w:rsidRDefault="00D67815" w:rsidP="00741A16">
            <w:pPr>
              <w:rPr>
                <w:lang w:val="lt-LT"/>
              </w:rPr>
            </w:pPr>
            <w:r w:rsidRPr="00EC247F">
              <w:rPr>
                <w:lang w:val="lt-LT"/>
              </w:rPr>
              <w:lastRenderedPageBreak/>
              <w:t>4</w:t>
            </w:r>
            <w:r w:rsidR="00702435">
              <w:rPr>
                <w:lang w:val="lt-LT"/>
              </w:rPr>
              <w:t>3</w:t>
            </w:r>
            <w:r w:rsidRPr="00EC247F">
              <w:rPr>
                <w:lang w:val="lt-LT"/>
              </w:rPr>
              <w:t>.</w:t>
            </w:r>
          </w:p>
        </w:tc>
        <w:tc>
          <w:tcPr>
            <w:tcW w:w="3115" w:type="dxa"/>
          </w:tcPr>
          <w:p w14:paraId="3A71A2D9" w14:textId="77777777" w:rsidR="00D67815" w:rsidRPr="00EC247F" w:rsidRDefault="00D67815" w:rsidP="00695B8A">
            <w:pPr>
              <w:rPr>
                <w:lang w:val="lt-LT"/>
              </w:rPr>
            </w:pPr>
            <w:r w:rsidRPr="00EC247F">
              <w:rPr>
                <w:lang w:val="lt-LT"/>
              </w:rPr>
              <w:t xml:space="preserve">Asmenų, nukentėjusių nuo smurto artimoje aplinkoje, skaičius, tenkantis </w:t>
            </w:r>
            <w:r w:rsidRPr="00ED6F65">
              <w:rPr>
                <w:lang w:val="lt-LT"/>
              </w:rPr>
              <w:t>1</w:t>
            </w:r>
            <w:r w:rsidR="001647AE" w:rsidRPr="00ED6F65">
              <w:rPr>
                <w:lang w:val="lt-LT"/>
              </w:rPr>
              <w:t>00</w:t>
            </w:r>
            <w:r w:rsidRPr="00EC247F">
              <w:rPr>
                <w:lang w:val="lt-LT"/>
              </w:rPr>
              <w:t xml:space="preserve"> tūkst. atitinkamo amžiaus gyventojų</w:t>
            </w:r>
          </w:p>
        </w:tc>
        <w:tc>
          <w:tcPr>
            <w:tcW w:w="2340" w:type="dxa"/>
          </w:tcPr>
          <w:p w14:paraId="34813FF1" w14:textId="77777777" w:rsidR="00D67815" w:rsidRPr="00EC247F" w:rsidRDefault="00D67815" w:rsidP="00C20C38">
            <w:pPr>
              <w:rPr>
                <w:lang w:val="lt-LT"/>
              </w:rPr>
            </w:pPr>
            <w:r w:rsidRPr="00EC247F">
              <w:rPr>
                <w:lang w:val="lt-LT"/>
              </w:rPr>
              <w:t>Lytis</w:t>
            </w:r>
          </w:p>
          <w:p w14:paraId="5D7EC39C" w14:textId="77777777" w:rsidR="00D67815" w:rsidRPr="00EC247F" w:rsidRDefault="00D67815" w:rsidP="00C20C38">
            <w:pPr>
              <w:rPr>
                <w:lang w:val="lt-LT"/>
              </w:rPr>
            </w:pPr>
            <w:r w:rsidRPr="00EC247F">
              <w:rPr>
                <w:lang w:val="lt-LT"/>
              </w:rPr>
              <w:t>Savivaldybės</w:t>
            </w:r>
          </w:p>
          <w:p w14:paraId="63232750" w14:textId="77777777" w:rsidR="00D67815" w:rsidRPr="00EC247F" w:rsidRDefault="00D67815" w:rsidP="00C20C38">
            <w:pPr>
              <w:rPr>
                <w:lang w:val="lt-LT"/>
              </w:rPr>
            </w:pPr>
            <w:r w:rsidRPr="00EC247F">
              <w:rPr>
                <w:lang w:val="lt-LT"/>
              </w:rPr>
              <w:t>Amžiaus grupės (0–17; 18–64; 65 ir vyresni)</w:t>
            </w:r>
          </w:p>
          <w:p w14:paraId="7D9835B3" w14:textId="77777777" w:rsidR="00344F3A" w:rsidRDefault="008C02E3" w:rsidP="008C02E3">
            <w:pPr>
              <w:rPr>
                <w:lang w:val="lt-LT"/>
              </w:rPr>
            </w:pPr>
            <w:r>
              <w:rPr>
                <w:lang w:val="lt-LT"/>
              </w:rPr>
              <w:t>Artima aplinka</w:t>
            </w:r>
            <w:r w:rsidR="00344F3A">
              <w:rPr>
                <w:lang w:val="lt-LT"/>
              </w:rPr>
              <w:t>:</w:t>
            </w:r>
            <w:r>
              <w:rPr>
                <w:lang w:val="lt-LT"/>
              </w:rPr>
              <w:t xml:space="preserve"> </w:t>
            </w:r>
          </w:p>
          <w:p w14:paraId="6E820571" w14:textId="535104CB" w:rsidR="008C02E3" w:rsidRPr="008C02E3" w:rsidRDefault="00344F3A" w:rsidP="008C02E3">
            <w:pPr>
              <w:rPr>
                <w:lang w:val="lt-LT"/>
              </w:rPr>
            </w:pPr>
            <w:r>
              <w:rPr>
                <w:lang w:val="lt-LT"/>
              </w:rPr>
              <w:t xml:space="preserve">A. </w:t>
            </w:r>
            <w:r w:rsidR="008C02E3">
              <w:rPr>
                <w:lang w:val="lt-LT"/>
              </w:rPr>
              <w:t>Intymaus partnerio;</w:t>
            </w:r>
            <w:r>
              <w:rPr>
                <w:lang w:val="lt-LT"/>
              </w:rPr>
              <w:t xml:space="preserve"> </w:t>
            </w:r>
          </w:p>
          <w:p w14:paraId="0D17B3D2" w14:textId="6631C7D2" w:rsidR="008C02E3" w:rsidRPr="008C02E3" w:rsidRDefault="00344F3A" w:rsidP="008C02E3">
            <w:pPr>
              <w:rPr>
                <w:lang w:val="lt-LT"/>
              </w:rPr>
            </w:pPr>
            <w:r>
              <w:rPr>
                <w:lang w:val="lt-LT"/>
              </w:rPr>
              <w:t xml:space="preserve">B. </w:t>
            </w:r>
            <w:r w:rsidR="008C02E3" w:rsidRPr="008C02E3">
              <w:rPr>
                <w:lang w:val="lt-LT"/>
              </w:rPr>
              <w:t>Šeimos narių ir kitų artimos aplinkos asmenų</w:t>
            </w:r>
            <w:r w:rsidR="008C02E3">
              <w:rPr>
                <w:lang w:val="lt-LT"/>
              </w:rPr>
              <w:t>:</w:t>
            </w:r>
            <w:r w:rsidR="008C02E3" w:rsidRPr="008C02E3">
              <w:rPr>
                <w:lang w:val="lt-LT"/>
              </w:rPr>
              <w:t xml:space="preserve"> </w:t>
            </w:r>
          </w:p>
          <w:p w14:paraId="615A24D4" w14:textId="0B6B119A" w:rsidR="008C02E3" w:rsidRPr="00344F3A" w:rsidRDefault="00344F3A" w:rsidP="00344F3A">
            <w:pPr>
              <w:rPr>
                <w:lang w:val="lt-LT"/>
              </w:rPr>
            </w:pPr>
            <w:r>
              <w:rPr>
                <w:lang w:val="lt-LT"/>
              </w:rPr>
              <w:t xml:space="preserve">1) </w:t>
            </w:r>
            <w:r w:rsidR="008C02E3" w:rsidRPr="00344F3A">
              <w:rPr>
                <w:lang w:val="lt-LT"/>
              </w:rPr>
              <w:t>tėvų ar įtėvių (motinos (pamotės), įmotės, tėvo (patėvio), įtėvio, globėjo)</w:t>
            </w:r>
            <w:r>
              <w:rPr>
                <w:lang w:val="lt-LT"/>
              </w:rPr>
              <w:t xml:space="preserve">; </w:t>
            </w:r>
          </w:p>
          <w:p w14:paraId="5A43B2EE" w14:textId="258EE55D" w:rsidR="008C02E3" w:rsidRPr="00344F3A" w:rsidRDefault="00344F3A" w:rsidP="00344F3A">
            <w:pPr>
              <w:rPr>
                <w:lang w:val="lt-LT"/>
              </w:rPr>
            </w:pPr>
            <w:r>
              <w:rPr>
                <w:lang w:val="lt-LT"/>
              </w:rPr>
              <w:t xml:space="preserve">2) </w:t>
            </w:r>
            <w:r w:rsidR="008C02E3" w:rsidRPr="00344F3A">
              <w:rPr>
                <w:lang w:val="lt-LT"/>
              </w:rPr>
              <w:t>vaikų ar įvaikių</w:t>
            </w:r>
            <w:r>
              <w:rPr>
                <w:lang w:val="lt-LT"/>
              </w:rPr>
              <w:t xml:space="preserve">; </w:t>
            </w:r>
          </w:p>
          <w:p w14:paraId="56A81AA0" w14:textId="40D10DA6" w:rsidR="001647AE" w:rsidRPr="00344F3A" w:rsidRDefault="00344F3A" w:rsidP="00344F3A">
            <w:pPr>
              <w:rPr>
                <w:lang w:val="lt-LT"/>
              </w:rPr>
            </w:pPr>
            <w:r>
              <w:rPr>
                <w:lang w:val="lt-LT"/>
              </w:rPr>
              <w:t xml:space="preserve">3) </w:t>
            </w:r>
            <w:r w:rsidR="008C02E3" w:rsidRPr="00344F3A">
              <w:rPr>
                <w:lang w:val="lt-LT"/>
              </w:rPr>
              <w:t>kitų artimos aplinkos asmenų (brolio, sesers, senelio (-ės) ir kt.)</w:t>
            </w:r>
            <w:r>
              <w:rPr>
                <w:lang w:val="lt-LT"/>
              </w:rPr>
              <w:t xml:space="preserve">. </w:t>
            </w:r>
          </w:p>
        </w:tc>
        <w:tc>
          <w:tcPr>
            <w:tcW w:w="1727" w:type="dxa"/>
          </w:tcPr>
          <w:p w14:paraId="0A1261EA" w14:textId="77777777" w:rsidR="00D67815" w:rsidRPr="00EC247F" w:rsidRDefault="00D67815" w:rsidP="00695B8A">
            <w:pPr>
              <w:rPr>
                <w:lang w:val="lt-LT"/>
              </w:rPr>
            </w:pPr>
            <w:r w:rsidRPr="00EC247F">
              <w:rPr>
                <w:lang w:val="lt-LT"/>
              </w:rPr>
              <w:t>Nuo 2017 m.</w:t>
            </w:r>
          </w:p>
          <w:p w14:paraId="7E431629" w14:textId="19C3C884" w:rsidR="00D67815" w:rsidRPr="00EC247F" w:rsidRDefault="001E180C" w:rsidP="00695B8A">
            <w:pPr>
              <w:rPr>
                <w:lang w:val="lt-LT"/>
              </w:rPr>
            </w:pPr>
            <w:r>
              <w:rPr>
                <w:lang w:val="lt-LT"/>
              </w:rPr>
              <w:t>Dalinai skelbiama (pateikiami absoliutūs sk.)</w:t>
            </w:r>
          </w:p>
        </w:tc>
        <w:tc>
          <w:tcPr>
            <w:tcW w:w="1243" w:type="dxa"/>
            <w:gridSpan w:val="2"/>
          </w:tcPr>
          <w:p w14:paraId="6EB62006" w14:textId="06131897" w:rsidR="00D67815" w:rsidRPr="00EC247F" w:rsidRDefault="00420B8C" w:rsidP="00695B8A">
            <w:pPr>
              <w:rPr>
                <w:lang w:val="lt-LT"/>
              </w:rPr>
            </w:pPr>
            <w:r w:rsidRPr="00EC247F">
              <w:rPr>
                <w:lang w:val="lt-LT"/>
              </w:rPr>
              <w:t xml:space="preserve">LSD/ </w:t>
            </w:r>
            <w:r w:rsidR="000D3256" w:rsidRPr="00EC247F">
              <w:rPr>
                <w:lang w:val="lt-LT"/>
              </w:rPr>
              <w:t>IRD</w:t>
            </w:r>
          </w:p>
        </w:tc>
        <w:tc>
          <w:tcPr>
            <w:tcW w:w="6750" w:type="dxa"/>
          </w:tcPr>
          <w:p w14:paraId="38B7CDAC" w14:textId="5E4836BC" w:rsidR="001B016B" w:rsidRPr="00EC247F" w:rsidRDefault="001B016B" w:rsidP="00695B8A">
            <w:pPr>
              <w:rPr>
                <w:lang w:val="lt-LT"/>
              </w:rPr>
            </w:pPr>
            <w:r w:rsidRPr="00EC247F">
              <w:rPr>
                <w:lang w:val="lt-LT"/>
              </w:rPr>
              <w:t>Smurtas artimoje aplinkoje ne tik turi sunkių pasekmių jį patyrusiems, bet ir neigiamai veikia visuomenę, keldamas grėsmę šalies vystymuisi ir demokratijai. Todėl 2011 m. Lietuvoje buvo priimtas „Apsaugos nuo smurto artimoje aplinkoje įstatymas“, kurio tikslas – ginti asmenis nuo smurto artimoje aplinkoje.</w:t>
            </w:r>
          </w:p>
          <w:p w14:paraId="457CC2C1" w14:textId="77777777" w:rsidR="00436456" w:rsidRPr="00EC247F" w:rsidRDefault="00436456" w:rsidP="00695B8A">
            <w:pPr>
              <w:rPr>
                <w:lang w:val="lt-LT"/>
              </w:rPr>
            </w:pPr>
          </w:p>
          <w:p w14:paraId="5BF76D34" w14:textId="78402448" w:rsidR="00D67815" w:rsidRPr="00EC247F" w:rsidRDefault="00420B8C" w:rsidP="00695B8A">
            <w:pPr>
              <w:rPr>
                <w:lang w:val="lt-LT"/>
              </w:rPr>
            </w:pPr>
            <w:r w:rsidRPr="00EC247F">
              <w:rPr>
                <w:lang w:val="lt-LT"/>
              </w:rPr>
              <w:t>Rodiklis rodo, kiek nuo smurto artimoje aplinkoje nukentėjusių asmenų tenka 100 tūkst. atitinkamo amžiaus gyventojų.</w:t>
            </w:r>
            <w:r w:rsidR="00741A16" w:rsidRPr="00EC247F">
              <w:rPr>
                <w:lang w:val="lt-LT"/>
              </w:rPr>
              <w:t xml:space="preserve"> Rodiklis atskleidžia nukentėjusiųjų nuo smurto artimoje aplinkoje demografinį portretą</w:t>
            </w:r>
            <w:r w:rsidR="001B016B" w:rsidRPr="00EC247F">
              <w:rPr>
                <w:lang w:val="lt-LT"/>
              </w:rPr>
              <w:t xml:space="preserve"> </w:t>
            </w:r>
            <w:r w:rsidR="008E18D6" w:rsidRPr="00EC247F">
              <w:rPr>
                <w:lang w:val="lt-LT"/>
              </w:rPr>
              <w:t>lyties ir amžiaus aspektais</w:t>
            </w:r>
            <w:r w:rsidR="00741A16" w:rsidRPr="00EC247F">
              <w:rPr>
                <w:lang w:val="lt-LT"/>
              </w:rPr>
              <w:t>.</w:t>
            </w:r>
          </w:p>
          <w:p w14:paraId="3E255ACD" w14:textId="77777777" w:rsidR="00D67815" w:rsidRPr="00EC247F" w:rsidRDefault="00D67815" w:rsidP="00695B8A">
            <w:pPr>
              <w:rPr>
                <w:lang w:val="lt-LT"/>
              </w:rPr>
            </w:pPr>
          </w:p>
        </w:tc>
      </w:tr>
      <w:tr w:rsidR="00D67815" w:rsidRPr="00485D1C" w14:paraId="69F8F304" w14:textId="77777777" w:rsidTr="00AD1B26">
        <w:trPr>
          <w:jc w:val="center"/>
        </w:trPr>
        <w:tc>
          <w:tcPr>
            <w:tcW w:w="570" w:type="dxa"/>
            <w:tcBorders>
              <w:bottom w:val="single" w:sz="4" w:space="0" w:color="auto"/>
            </w:tcBorders>
          </w:tcPr>
          <w:p w14:paraId="77E29146" w14:textId="01243901" w:rsidR="00D67815" w:rsidRPr="00EC247F" w:rsidRDefault="00D67815" w:rsidP="00741A16">
            <w:pPr>
              <w:rPr>
                <w:lang w:val="lt-LT"/>
              </w:rPr>
            </w:pPr>
            <w:r w:rsidRPr="00EC247F">
              <w:rPr>
                <w:lang w:val="lt-LT"/>
              </w:rPr>
              <w:t>4</w:t>
            </w:r>
            <w:r w:rsidR="00702435">
              <w:rPr>
                <w:lang w:val="lt-LT"/>
              </w:rPr>
              <w:t>4</w:t>
            </w:r>
            <w:r w:rsidR="00741A16" w:rsidRPr="00EC247F">
              <w:rPr>
                <w:lang w:val="lt-LT"/>
              </w:rPr>
              <w:t>.</w:t>
            </w:r>
          </w:p>
        </w:tc>
        <w:tc>
          <w:tcPr>
            <w:tcW w:w="3115" w:type="dxa"/>
            <w:tcBorders>
              <w:bottom w:val="single" w:sz="4" w:space="0" w:color="auto"/>
            </w:tcBorders>
          </w:tcPr>
          <w:p w14:paraId="49EC16ED" w14:textId="77777777" w:rsidR="00D67815" w:rsidRPr="00EC247F" w:rsidRDefault="00D67815" w:rsidP="009D31BC">
            <w:pPr>
              <w:rPr>
                <w:lang w:val="lt-LT"/>
              </w:rPr>
            </w:pPr>
            <w:r w:rsidRPr="00EC247F">
              <w:rPr>
                <w:lang w:val="lt-LT"/>
              </w:rPr>
              <w:t>Asmenų, įtariamų (kaltinamų) padarius nusikaltimą artimoje aplinkoje</w:t>
            </w:r>
            <w:r w:rsidRPr="00ED6F65">
              <w:rPr>
                <w:lang w:val="lt-LT"/>
              </w:rPr>
              <w:t>, skaičius, tenkantis 1</w:t>
            </w:r>
            <w:r w:rsidR="00AF3ABD" w:rsidRPr="00ED6F65">
              <w:rPr>
                <w:lang w:val="lt-LT"/>
              </w:rPr>
              <w:t>00</w:t>
            </w:r>
            <w:r w:rsidRPr="00ED6F65">
              <w:rPr>
                <w:lang w:val="lt-LT"/>
              </w:rPr>
              <w:t xml:space="preserve"> tūkst. atitinkamo amžiaus gyventojų</w:t>
            </w:r>
          </w:p>
        </w:tc>
        <w:tc>
          <w:tcPr>
            <w:tcW w:w="2340" w:type="dxa"/>
            <w:tcBorders>
              <w:bottom w:val="single" w:sz="4" w:space="0" w:color="auto"/>
            </w:tcBorders>
          </w:tcPr>
          <w:p w14:paraId="01385C8A" w14:textId="77777777" w:rsidR="00D67815" w:rsidRPr="00EC247F" w:rsidRDefault="00D67815" w:rsidP="00C20C38">
            <w:pPr>
              <w:rPr>
                <w:lang w:val="lt-LT"/>
              </w:rPr>
            </w:pPr>
            <w:r w:rsidRPr="00EC247F">
              <w:rPr>
                <w:lang w:val="lt-LT"/>
              </w:rPr>
              <w:t>Lytis</w:t>
            </w:r>
          </w:p>
          <w:p w14:paraId="6A42D6D3" w14:textId="77777777" w:rsidR="00D67815" w:rsidRPr="00EC247F" w:rsidRDefault="00D67815" w:rsidP="00C20C38">
            <w:pPr>
              <w:rPr>
                <w:lang w:val="lt-LT"/>
              </w:rPr>
            </w:pPr>
            <w:r w:rsidRPr="00EC247F">
              <w:rPr>
                <w:lang w:val="lt-LT"/>
              </w:rPr>
              <w:t>Savivaldybės</w:t>
            </w:r>
          </w:p>
          <w:p w14:paraId="21383B71" w14:textId="2D5B2EAA" w:rsidR="00D67815" w:rsidRPr="00EC247F" w:rsidRDefault="00D67815" w:rsidP="00C20C38">
            <w:pPr>
              <w:rPr>
                <w:lang w:val="lt-LT"/>
              </w:rPr>
            </w:pPr>
            <w:r w:rsidRPr="00EC247F">
              <w:rPr>
                <w:lang w:val="lt-LT"/>
              </w:rPr>
              <w:t>Amžiaus grupės (</w:t>
            </w:r>
            <w:r w:rsidR="008E5712" w:rsidRPr="00EC247F">
              <w:rPr>
                <w:lang w:val="lt-LT"/>
              </w:rPr>
              <w:t>14</w:t>
            </w:r>
            <w:r w:rsidRPr="00EC247F">
              <w:rPr>
                <w:lang w:val="lt-LT"/>
              </w:rPr>
              <w:t>–17; 18–64; 65 ir vyresni)</w:t>
            </w:r>
          </w:p>
        </w:tc>
        <w:tc>
          <w:tcPr>
            <w:tcW w:w="1727" w:type="dxa"/>
            <w:tcBorders>
              <w:bottom w:val="single" w:sz="4" w:space="0" w:color="auto"/>
            </w:tcBorders>
          </w:tcPr>
          <w:p w14:paraId="2281F5ED" w14:textId="77777777" w:rsidR="00D67815" w:rsidRDefault="00D67815" w:rsidP="00BF5DFB">
            <w:pPr>
              <w:rPr>
                <w:lang w:val="lt-LT"/>
              </w:rPr>
            </w:pPr>
            <w:r w:rsidRPr="00EC247F">
              <w:rPr>
                <w:lang w:val="lt-LT"/>
              </w:rPr>
              <w:t>Nuo 2017 m.</w:t>
            </w:r>
          </w:p>
          <w:p w14:paraId="054D1461" w14:textId="6EC44250" w:rsidR="00EF3530" w:rsidRPr="00EC247F" w:rsidRDefault="00EF3530" w:rsidP="00BF5DFB">
            <w:pPr>
              <w:rPr>
                <w:lang w:val="lt-LT"/>
              </w:rPr>
            </w:pPr>
            <w:r>
              <w:rPr>
                <w:lang w:val="lt-LT"/>
              </w:rPr>
              <w:t>Dalinai skelbiama (pateikiami absoliutūs sk.)</w:t>
            </w:r>
          </w:p>
        </w:tc>
        <w:tc>
          <w:tcPr>
            <w:tcW w:w="1243" w:type="dxa"/>
            <w:gridSpan w:val="2"/>
            <w:tcBorders>
              <w:bottom w:val="single" w:sz="4" w:space="0" w:color="auto"/>
            </w:tcBorders>
          </w:tcPr>
          <w:p w14:paraId="791374CC" w14:textId="4680D3DA" w:rsidR="00D67815" w:rsidRPr="00EC247F" w:rsidRDefault="00AF3ABD" w:rsidP="00695B8A">
            <w:pPr>
              <w:rPr>
                <w:lang w:val="lt-LT"/>
              </w:rPr>
            </w:pPr>
            <w:r w:rsidRPr="00EC247F">
              <w:rPr>
                <w:lang w:val="lt-LT"/>
              </w:rPr>
              <w:t xml:space="preserve">LSD/ </w:t>
            </w:r>
            <w:r w:rsidR="000D3256" w:rsidRPr="00EC247F">
              <w:rPr>
                <w:lang w:val="lt-LT"/>
              </w:rPr>
              <w:t>IRD</w:t>
            </w:r>
          </w:p>
        </w:tc>
        <w:tc>
          <w:tcPr>
            <w:tcW w:w="6750" w:type="dxa"/>
            <w:tcBorders>
              <w:bottom w:val="single" w:sz="4" w:space="0" w:color="auto"/>
            </w:tcBorders>
          </w:tcPr>
          <w:p w14:paraId="1368B539" w14:textId="54443683" w:rsidR="00436456" w:rsidRPr="00EC247F" w:rsidRDefault="00436456" w:rsidP="00436456">
            <w:pPr>
              <w:rPr>
                <w:lang w:val="lt-LT"/>
              </w:rPr>
            </w:pPr>
            <w:r w:rsidRPr="00EC247F">
              <w:rPr>
                <w:lang w:val="lt-LT"/>
              </w:rPr>
              <w:t>Smurtas artimoje aplinkoje ne tik turi sunkių pasekmių jį patyrusiems, bet ir neigiamai veikia visuomenę, keldamas grėsmę šalies vystymuisi ir demokratijai. Todėl 2011 m. Lietuvoje buvo priimtas „Apsaugos nuo smurto artimoje aplinkoje įstatymas“, kurio tikslas – ginti asmenis nuo smurto artimoje aplinkoje.</w:t>
            </w:r>
          </w:p>
          <w:p w14:paraId="32FD06E7" w14:textId="77777777" w:rsidR="00436456" w:rsidRPr="00EC247F" w:rsidRDefault="00436456" w:rsidP="00436456">
            <w:pPr>
              <w:rPr>
                <w:lang w:val="lt-LT"/>
              </w:rPr>
            </w:pPr>
          </w:p>
          <w:p w14:paraId="7A74B2B6" w14:textId="0769DEC8" w:rsidR="00D67815" w:rsidRPr="00EC247F" w:rsidRDefault="00AF3ABD" w:rsidP="00436456">
            <w:pPr>
              <w:rPr>
                <w:lang w:val="lt-LT"/>
              </w:rPr>
            </w:pPr>
            <w:r w:rsidRPr="00EC247F">
              <w:rPr>
                <w:lang w:val="lt-LT"/>
              </w:rPr>
              <w:t>Rodiklis rodo, kiek asmenų, įtariamų (kaltinamų) padarius nusikaltimą artimoje aplinkoje, tenka 100 tūkst. atitinkamo amžiaus gyventojų.</w:t>
            </w:r>
            <w:r w:rsidR="00741A16" w:rsidRPr="00EC247F">
              <w:rPr>
                <w:lang w:val="lt-LT"/>
              </w:rPr>
              <w:t xml:space="preserve"> Rodiklis atskleidžia smurtautojų demografinį portretą</w:t>
            </w:r>
            <w:r w:rsidR="00E057C1" w:rsidRPr="00EC247F">
              <w:rPr>
                <w:lang w:val="lt-LT"/>
              </w:rPr>
              <w:t xml:space="preserve"> lyties ir amžiaus aspektais</w:t>
            </w:r>
            <w:r w:rsidR="00741A16" w:rsidRPr="00EC247F">
              <w:rPr>
                <w:lang w:val="lt-LT"/>
              </w:rPr>
              <w:t>.</w:t>
            </w:r>
            <w:r w:rsidR="00E057C1" w:rsidRPr="00EC247F">
              <w:rPr>
                <w:lang w:val="lt-LT"/>
              </w:rPr>
              <w:t xml:space="preserve"> </w:t>
            </w:r>
            <w:r w:rsidR="00D15A7C" w:rsidRPr="00EC247F">
              <w:rPr>
                <w:lang w:val="lt-LT"/>
              </w:rPr>
              <w:t>Ši informacija naudinga planuojant smurto artimoje aplinkoje prevencijos veiklas.</w:t>
            </w:r>
          </w:p>
        </w:tc>
      </w:tr>
      <w:tr w:rsidR="00D67815" w:rsidRPr="00485D1C" w14:paraId="15A0032B" w14:textId="77777777" w:rsidTr="00AD1B26">
        <w:trPr>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0E8FC6E2" w14:textId="0006F1A1" w:rsidR="00D67815" w:rsidRPr="00EC247F" w:rsidRDefault="00D67815" w:rsidP="008C02BD">
            <w:pPr>
              <w:rPr>
                <w:lang w:val="lt-LT"/>
              </w:rPr>
            </w:pPr>
            <w:r w:rsidRPr="00EC247F">
              <w:rPr>
                <w:lang w:val="lt-LT"/>
              </w:rPr>
              <w:lastRenderedPageBreak/>
              <w:t>4</w:t>
            </w:r>
            <w:r w:rsidR="00702435">
              <w:rPr>
                <w:lang w:val="lt-LT"/>
              </w:rPr>
              <w:t>5</w:t>
            </w:r>
            <w:r w:rsidRPr="00EC247F">
              <w:rPr>
                <w:lang w:val="lt-LT"/>
              </w:rPr>
              <w:t>.</w:t>
            </w:r>
          </w:p>
        </w:tc>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CD8B31" w14:textId="03944759" w:rsidR="00D67815" w:rsidRPr="00EC247F" w:rsidRDefault="00D67815">
            <w:pPr>
              <w:rPr>
                <w:lang w:val="lt-LT"/>
              </w:rPr>
            </w:pPr>
            <w:r w:rsidRPr="00EC247F">
              <w:rPr>
                <w:lang w:val="lt-LT"/>
              </w:rPr>
              <w:t>Asmenų, įtariamų (kaltinamų) padar</w:t>
            </w:r>
            <w:r w:rsidR="00AA70BF" w:rsidRPr="00EC247F">
              <w:rPr>
                <w:lang w:val="lt-LT"/>
              </w:rPr>
              <w:t>ius</w:t>
            </w:r>
            <w:r w:rsidRPr="00EC247F">
              <w:rPr>
                <w:lang w:val="lt-LT"/>
              </w:rPr>
              <w:t xml:space="preserve"> nusikaltimą artimoje aplinkoje pakartotinai, skaič</w:t>
            </w:r>
            <w:r w:rsidRPr="00ED6F65">
              <w:rPr>
                <w:lang w:val="lt-LT"/>
              </w:rPr>
              <w:t>ius, tenkantis 1</w:t>
            </w:r>
            <w:r w:rsidR="006E222A" w:rsidRPr="00ED6F65">
              <w:rPr>
                <w:lang w:val="lt-LT"/>
              </w:rPr>
              <w:t>00</w:t>
            </w:r>
            <w:r w:rsidRPr="00ED6F65">
              <w:rPr>
                <w:lang w:val="lt-LT"/>
              </w:rPr>
              <w:t xml:space="preserve"> tūkst. atitinkamo amžiaus gyventojų </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1AE65" w14:textId="77777777" w:rsidR="00D67815" w:rsidRPr="00EC247F" w:rsidRDefault="00D67815" w:rsidP="008C02BD">
            <w:pPr>
              <w:rPr>
                <w:lang w:val="lt-LT"/>
              </w:rPr>
            </w:pPr>
            <w:r w:rsidRPr="00EC247F">
              <w:rPr>
                <w:lang w:val="lt-LT"/>
              </w:rPr>
              <w:t>Lytis</w:t>
            </w:r>
          </w:p>
          <w:p w14:paraId="226C1922" w14:textId="77777777" w:rsidR="00D67815" w:rsidRPr="00EC247F" w:rsidRDefault="00D67815" w:rsidP="008C02BD">
            <w:pPr>
              <w:rPr>
                <w:lang w:val="lt-LT"/>
              </w:rPr>
            </w:pPr>
            <w:r w:rsidRPr="00EC247F">
              <w:rPr>
                <w:lang w:val="lt-LT"/>
              </w:rPr>
              <w:t>Savivaldybės</w:t>
            </w:r>
          </w:p>
          <w:p w14:paraId="280CE8EC" w14:textId="10967869" w:rsidR="00D67815" w:rsidRPr="00EC247F" w:rsidRDefault="00D67815" w:rsidP="008C02BD">
            <w:pPr>
              <w:rPr>
                <w:lang w:val="lt-LT"/>
              </w:rPr>
            </w:pPr>
            <w:r w:rsidRPr="00EC247F">
              <w:rPr>
                <w:lang w:val="lt-LT"/>
              </w:rPr>
              <w:t>Amžiaus grupės (</w:t>
            </w:r>
            <w:r w:rsidR="00AA70BF" w:rsidRPr="00EC247F">
              <w:rPr>
                <w:lang w:val="lt-LT"/>
              </w:rPr>
              <w:t>14</w:t>
            </w:r>
            <w:r w:rsidRPr="00EC247F">
              <w:rPr>
                <w:lang w:val="lt-LT"/>
              </w:rPr>
              <w:t>–17; 18–64; 65 ir vyresni)</w:t>
            </w:r>
          </w:p>
        </w:tc>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5068B9" w14:textId="77777777" w:rsidR="00D67815" w:rsidRDefault="00D67815" w:rsidP="00695B8A">
            <w:pPr>
              <w:rPr>
                <w:lang w:val="lt-LT"/>
              </w:rPr>
            </w:pPr>
            <w:r w:rsidRPr="00EC247F">
              <w:rPr>
                <w:lang w:val="lt-LT"/>
              </w:rPr>
              <w:t>Nuo 2018 m.</w:t>
            </w:r>
          </w:p>
          <w:p w14:paraId="7A30E042" w14:textId="7BAEACF8" w:rsidR="00EF3530" w:rsidRPr="00EC247F" w:rsidRDefault="00EF3530" w:rsidP="00695B8A">
            <w:pPr>
              <w:rPr>
                <w:lang w:val="lt-LT"/>
              </w:rPr>
            </w:pPr>
            <w:r>
              <w:rPr>
                <w:lang w:val="lt-LT"/>
              </w:rPr>
              <w:t>Naujas rodiklis</w:t>
            </w:r>
          </w:p>
          <w:p w14:paraId="31CE4385" w14:textId="77777777" w:rsidR="00D67815" w:rsidRPr="00EC247F" w:rsidRDefault="00D67815" w:rsidP="00695B8A">
            <w:pPr>
              <w:rPr>
                <w:lang w:val="lt-LT"/>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0115A4" w14:textId="205925E9" w:rsidR="00D67815" w:rsidRPr="00EC247F" w:rsidRDefault="00C32F41" w:rsidP="00695B8A">
            <w:pPr>
              <w:rPr>
                <w:lang w:val="lt-LT"/>
              </w:rPr>
            </w:pPr>
            <w:r w:rsidRPr="00EC247F">
              <w:rPr>
                <w:lang w:val="lt-LT"/>
              </w:rPr>
              <w:t xml:space="preserve">LSD/ </w:t>
            </w:r>
            <w:r w:rsidR="000D3256" w:rsidRPr="00EC247F">
              <w:rPr>
                <w:lang w:val="lt-LT"/>
              </w:rPr>
              <w:t>IRD</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A19AD2" w14:textId="77777777" w:rsidR="00D15A7C" w:rsidRPr="00EC247F" w:rsidRDefault="00D15A7C" w:rsidP="00D15A7C">
            <w:pPr>
              <w:rPr>
                <w:lang w:val="lt-LT"/>
              </w:rPr>
            </w:pPr>
            <w:r w:rsidRPr="00EC247F">
              <w:rPr>
                <w:lang w:val="lt-LT"/>
              </w:rPr>
              <w:t>Smurtas artimoje aplinkoje ne tik turi sunkių pasekmių jį patyrusiems, bet ir neigiamai veikia visuomenę, keldamas grėsmę šalies vystymuisi ir demokratijai. Todėl 2011 m. Lietuvoje buvo priimtas „Apsaugos nuo smurto artimoje aplinkoje įstatymas“, kurio tikslas – ginti asmenis nuo smurto artimoje aplinkoje.</w:t>
            </w:r>
          </w:p>
          <w:p w14:paraId="23BD2FE6" w14:textId="77777777" w:rsidR="00D15A7C" w:rsidRPr="00EC247F" w:rsidRDefault="00D15A7C" w:rsidP="00D15A7C">
            <w:pPr>
              <w:rPr>
                <w:lang w:val="lt-LT"/>
              </w:rPr>
            </w:pPr>
          </w:p>
          <w:p w14:paraId="31A803A1" w14:textId="1D127DA7" w:rsidR="00D67815" w:rsidRPr="00EC247F" w:rsidRDefault="00D15A7C" w:rsidP="00D15A7C">
            <w:pPr>
              <w:rPr>
                <w:lang w:val="lt-LT"/>
              </w:rPr>
            </w:pPr>
            <w:r w:rsidRPr="00EC247F">
              <w:rPr>
                <w:lang w:val="lt-LT"/>
              </w:rPr>
              <w:t>Rodiklis rodo, kiek asmenų, įtariamų (kaltinamų) padarius nusikaltimą artimoje aplinkoje pakartotinai, tenka 100 tūkst. atitinkamo amžiaus gyventojų. Rodiklis atskleidžia ne tik smurtautojų demografinį portretą, bet ir pakartotinio smurto mastus. Ši informacija atskleidžia sistemos, kovojančios su smurtu</w:t>
            </w:r>
            <w:r w:rsidR="0002638E">
              <w:rPr>
                <w:lang w:val="lt-LT"/>
              </w:rPr>
              <w:t xml:space="preserve"> artimoje aplinkoje</w:t>
            </w:r>
            <w:r w:rsidRPr="00EC247F">
              <w:rPr>
                <w:lang w:val="lt-LT"/>
              </w:rPr>
              <w:t xml:space="preserve">, darbo veiksmingumą. </w:t>
            </w:r>
          </w:p>
        </w:tc>
      </w:tr>
      <w:tr w:rsidR="00D67815" w:rsidRPr="00485D1C" w14:paraId="4333050B" w14:textId="77777777" w:rsidTr="00AD1B26">
        <w:trPr>
          <w:jc w:val="center"/>
        </w:trPr>
        <w:tc>
          <w:tcPr>
            <w:tcW w:w="570" w:type="dxa"/>
            <w:tcBorders>
              <w:top w:val="single" w:sz="4" w:space="0" w:color="auto"/>
            </w:tcBorders>
          </w:tcPr>
          <w:p w14:paraId="36A64DA2" w14:textId="63E88E08" w:rsidR="00D67815" w:rsidRPr="00EC247F" w:rsidRDefault="00D67815" w:rsidP="00702435">
            <w:pPr>
              <w:rPr>
                <w:lang w:val="lt-LT"/>
              </w:rPr>
            </w:pPr>
            <w:r w:rsidRPr="00EC247F">
              <w:rPr>
                <w:lang w:val="lt-LT"/>
              </w:rPr>
              <w:t>4</w:t>
            </w:r>
            <w:r w:rsidR="00702435">
              <w:rPr>
                <w:lang w:val="lt-LT"/>
              </w:rPr>
              <w:t>6</w:t>
            </w:r>
            <w:r w:rsidRPr="00EC247F">
              <w:rPr>
                <w:lang w:val="lt-LT"/>
              </w:rPr>
              <w:t>.</w:t>
            </w:r>
          </w:p>
        </w:tc>
        <w:tc>
          <w:tcPr>
            <w:tcW w:w="3115" w:type="dxa"/>
            <w:tcBorders>
              <w:top w:val="single" w:sz="4" w:space="0" w:color="auto"/>
            </w:tcBorders>
          </w:tcPr>
          <w:p w14:paraId="24FCFE7E" w14:textId="77777777" w:rsidR="00D67815" w:rsidRPr="00EC247F" w:rsidRDefault="00D67815" w:rsidP="008C02BD">
            <w:pPr>
              <w:rPr>
                <w:lang w:val="lt-LT"/>
              </w:rPr>
            </w:pPr>
            <w:r w:rsidRPr="00EC247F">
              <w:rPr>
                <w:lang w:val="lt-LT"/>
              </w:rPr>
              <w:t xml:space="preserve">Smurtą artimoje aplinkoje patyrę asmenys, gavę specializuotą kompleksinę pagalbą </w:t>
            </w:r>
          </w:p>
        </w:tc>
        <w:tc>
          <w:tcPr>
            <w:tcW w:w="2340" w:type="dxa"/>
            <w:tcBorders>
              <w:top w:val="single" w:sz="4" w:space="0" w:color="auto"/>
            </w:tcBorders>
          </w:tcPr>
          <w:p w14:paraId="18BBFBEC" w14:textId="77777777" w:rsidR="00D67815" w:rsidRPr="00EC247F" w:rsidRDefault="00D67815" w:rsidP="00BF5DFB">
            <w:pPr>
              <w:rPr>
                <w:lang w:val="lt-LT"/>
              </w:rPr>
            </w:pPr>
            <w:r w:rsidRPr="00EC247F">
              <w:rPr>
                <w:lang w:val="lt-LT"/>
              </w:rPr>
              <w:t>Lytis</w:t>
            </w:r>
          </w:p>
          <w:p w14:paraId="7EBC3F88" w14:textId="77777777" w:rsidR="00D67815" w:rsidRPr="00EC247F" w:rsidRDefault="00D67815" w:rsidP="00BF5DFB">
            <w:pPr>
              <w:rPr>
                <w:lang w:val="lt-LT"/>
              </w:rPr>
            </w:pPr>
            <w:r w:rsidRPr="00EC247F">
              <w:rPr>
                <w:lang w:val="lt-LT"/>
              </w:rPr>
              <w:t>Savivaldybės</w:t>
            </w:r>
          </w:p>
          <w:p w14:paraId="16DE4A75" w14:textId="77777777" w:rsidR="00D67815" w:rsidRPr="00EC247F" w:rsidRDefault="00D67815" w:rsidP="00DD0B0B">
            <w:pPr>
              <w:rPr>
                <w:highlight w:val="yellow"/>
                <w:lang w:val="lt-LT"/>
              </w:rPr>
            </w:pPr>
            <w:r w:rsidRPr="00EC247F">
              <w:rPr>
                <w:lang w:val="lt-LT"/>
              </w:rPr>
              <w:t>Amžiaus grupės (0–</w:t>
            </w:r>
            <w:r w:rsidR="00C32F41" w:rsidRPr="00EC247F">
              <w:rPr>
                <w:lang w:val="lt-LT"/>
              </w:rPr>
              <w:t>1</w:t>
            </w:r>
            <w:r w:rsidRPr="00EC247F">
              <w:rPr>
                <w:lang w:val="lt-LT"/>
              </w:rPr>
              <w:t>7; 18–64; 65 ir vyresni)</w:t>
            </w:r>
          </w:p>
        </w:tc>
        <w:tc>
          <w:tcPr>
            <w:tcW w:w="1727" w:type="dxa"/>
            <w:tcBorders>
              <w:top w:val="single" w:sz="4" w:space="0" w:color="auto"/>
            </w:tcBorders>
          </w:tcPr>
          <w:p w14:paraId="772EA2A0" w14:textId="77777777" w:rsidR="00D67815" w:rsidRDefault="00D67815" w:rsidP="00BF5DFB">
            <w:pPr>
              <w:rPr>
                <w:lang w:val="lt-LT"/>
              </w:rPr>
            </w:pPr>
            <w:r w:rsidRPr="00EC247F">
              <w:rPr>
                <w:lang w:val="lt-LT"/>
              </w:rPr>
              <w:t>Nuo 2018 m.</w:t>
            </w:r>
          </w:p>
          <w:p w14:paraId="68DB1C54" w14:textId="6A9058CD" w:rsidR="00EF3530" w:rsidRPr="00EC247F" w:rsidRDefault="00EF3530" w:rsidP="00BF5DFB">
            <w:pPr>
              <w:rPr>
                <w:lang w:val="lt-LT"/>
              </w:rPr>
            </w:pPr>
            <w:r>
              <w:rPr>
                <w:lang w:val="lt-LT"/>
              </w:rPr>
              <w:t>Dalinai skelbiama (trūksta savivaldybių dimensijos, pateikiami absoliutūs sk.)</w:t>
            </w:r>
          </w:p>
        </w:tc>
        <w:tc>
          <w:tcPr>
            <w:tcW w:w="1243" w:type="dxa"/>
            <w:gridSpan w:val="2"/>
            <w:tcBorders>
              <w:top w:val="single" w:sz="4" w:space="0" w:color="auto"/>
            </w:tcBorders>
          </w:tcPr>
          <w:p w14:paraId="38DABAB4" w14:textId="5EDEA166" w:rsidR="00D67815" w:rsidRPr="00EC247F" w:rsidRDefault="00D67815" w:rsidP="000D3256">
            <w:pPr>
              <w:rPr>
                <w:lang w:val="lt-LT"/>
              </w:rPr>
            </w:pPr>
            <w:r w:rsidRPr="00EC247F">
              <w:rPr>
                <w:lang w:val="lt-LT"/>
              </w:rPr>
              <w:t>LSD</w:t>
            </w:r>
            <w:r w:rsidR="00DD0B0B" w:rsidRPr="00EC247F">
              <w:rPr>
                <w:lang w:val="lt-LT"/>
              </w:rPr>
              <w:t xml:space="preserve">/ </w:t>
            </w:r>
            <w:r w:rsidR="000D3256" w:rsidRPr="00EC247F">
              <w:rPr>
                <w:lang w:val="lt-LT"/>
              </w:rPr>
              <w:t>SADM</w:t>
            </w:r>
          </w:p>
        </w:tc>
        <w:tc>
          <w:tcPr>
            <w:tcW w:w="6750" w:type="dxa"/>
            <w:tcBorders>
              <w:top w:val="single" w:sz="4" w:space="0" w:color="auto"/>
            </w:tcBorders>
          </w:tcPr>
          <w:p w14:paraId="14E3A7C2" w14:textId="6D666816" w:rsidR="000B6FA6" w:rsidRPr="00EC247F" w:rsidRDefault="000B6FA6" w:rsidP="00DD0B0B">
            <w:pPr>
              <w:rPr>
                <w:lang w:val="lt-LT"/>
              </w:rPr>
            </w:pPr>
            <w:r w:rsidRPr="00EC247F">
              <w:rPr>
                <w:lang w:val="lt-LT"/>
              </w:rPr>
              <w:t xml:space="preserve">Kovojant su smurto artimoje aplinkoje pasekmėmis svarbu, kad nukentėjusiesiems būtų suteikta reikalinga pagalba. </w:t>
            </w:r>
            <w:r w:rsidRPr="00593578">
              <w:rPr>
                <w:i/>
                <w:lang w:val="lt-LT"/>
              </w:rPr>
              <w:t>Kiekvienoje savivaldybėje veikia specializuotos pagalbos centras</w:t>
            </w:r>
            <w:r w:rsidR="00AE34FF" w:rsidRPr="00593578">
              <w:rPr>
                <w:i/>
                <w:lang w:val="lt-LT"/>
              </w:rPr>
              <w:t>, kuris, gavęs iš policijos pareigūnų informaciją apie smurto atvejį ir smurtą artimoje aplinkoje patyrusio asmens ryšiams palaikyti duomenis, nedelsdamas telefonu, elektroniniu paštu ar tiesiogiai susisiekia su smurtą patyrusiu asmeniu ir pasiūlo pagalbą, kad įveiktų kritinę būklę: išsiaiškina esamą padėtį ir emociškai palaiko, informuoja apie tolesnės pagalbos teikimą ir individualaus pagalbos priemonių plano sudarymą, su smurtą patyrusiu asmeniu suderina jam priimtiniausią tolesnės specializuotos kompleksinės pagalbos teikimo būdą (telefonu, elektroniniu paštu ar susitikus)</w:t>
            </w:r>
            <w:r w:rsidR="00AE34FF" w:rsidRPr="00EC247F">
              <w:rPr>
                <w:rStyle w:val="FootnoteReference"/>
                <w:lang w:val="lt-LT"/>
              </w:rPr>
              <w:footnoteReference w:id="79"/>
            </w:r>
            <w:r w:rsidR="00AE34FF" w:rsidRPr="00EC247F">
              <w:rPr>
                <w:lang w:val="lt-LT"/>
              </w:rPr>
              <w:t xml:space="preserve">. </w:t>
            </w:r>
            <w:r w:rsidR="00AE34FF" w:rsidRPr="00593578">
              <w:rPr>
                <w:i/>
                <w:lang w:val="lt-LT"/>
              </w:rPr>
              <w:t>Jei smurtą patyręs asmuo priima siūlomą pagalbą, kartu su juo sudaro individualų pagalbos priemonių planą, kuriame atsispindi smurtą patyrusio asmens padėtis, kritinės būklės įveikimo procesas ir abipusiai įsipareigojimai</w:t>
            </w:r>
            <w:r w:rsidR="00AE34FF" w:rsidRPr="00EC247F">
              <w:rPr>
                <w:rStyle w:val="FootnoteReference"/>
                <w:lang w:val="lt-LT"/>
              </w:rPr>
              <w:footnoteReference w:id="80"/>
            </w:r>
            <w:r w:rsidR="00AE34FF" w:rsidRPr="00EC247F">
              <w:rPr>
                <w:lang w:val="lt-LT"/>
              </w:rPr>
              <w:t>. Nukentėjusieji į centrą</w:t>
            </w:r>
            <w:r w:rsidRPr="00EC247F">
              <w:rPr>
                <w:lang w:val="lt-LT"/>
              </w:rPr>
              <w:t xml:space="preserve"> </w:t>
            </w:r>
            <w:r w:rsidR="00AE34FF" w:rsidRPr="00EC247F">
              <w:rPr>
                <w:lang w:val="lt-LT"/>
              </w:rPr>
              <w:t xml:space="preserve">pagalbos kreiptis </w:t>
            </w:r>
            <w:r w:rsidRPr="00EC247F">
              <w:rPr>
                <w:lang w:val="lt-LT"/>
              </w:rPr>
              <w:t xml:space="preserve">gali </w:t>
            </w:r>
            <w:r w:rsidR="00AE34FF" w:rsidRPr="00EC247F">
              <w:rPr>
                <w:lang w:val="lt-LT"/>
              </w:rPr>
              <w:t xml:space="preserve">ir tiesiogiai. </w:t>
            </w:r>
          </w:p>
          <w:p w14:paraId="7CA76928" w14:textId="77777777" w:rsidR="000B6FA6" w:rsidRPr="00EC247F" w:rsidRDefault="000B6FA6" w:rsidP="00DD0B0B">
            <w:pPr>
              <w:rPr>
                <w:lang w:val="lt-LT"/>
              </w:rPr>
            </w:pPr>
          </w:p>
          <w:p w14:paraId="13F696E5" w14:textId="18F32E62" w:rsidR="00AE34FF" w:rsidRPr="00EC247F" w:rsidRDefault="00AE34FF" w:rsidP="00DD0B0B">
            <w:pPr>
              <w:rPr>
                <w:lang w:val="lt-LT"/>
              </w:rPr>
            </w:pPr>
            <w:r w:rsidRPr="00EC247F">
              <w:rPr>
                <w:lang w:val="lt-LT"/>
              </w:rPr>
              <w:t xml:space="preserve">Rodiklis rodo, kokia dalis nuo smurto artimoje aplinkoje nukentėjusių asmenų gavo specializuotą kompleksinę pagalbą </w:t>
            </w:r>
            <w:r w:rsidRPr="00EC247F">
              <w:rPr>
                <w:lang w:val="lt-LT"/>
              </w:rPr>
              <w:lastRenderedPageBreak/>
              <w:t>(procentais).</w:t>
            </w:r>
          </w:p>
          <w:p w14:paraId="75BDF896" w14:textId="77777777" w:rsidR="00AE34FF" w:rsidRPr="00EC247F" w:rsidRDefault="00AE34FF" w:rsidP="00DD0B0B">
            <w:pPr>
              <w:rPr>
                <w:lang w:val="lt-LT"/>
              </w:rPr>
            </w:pPr>
          </w:p>
          <w:p w14:paraId="476A61FB" w14:textId="77777777" w:rsidR="000B6FA6" w:rsidRPr="00EC247F" w:rsidRDefault="000B6FA6" w:rsidP="000B6FA6">
            <w:pPr>
              <w:rPr>
                <w:bCs/>
                <w:lang w:val="lt-LT"/>
              </w:rPr>
            </w:pPr>
            <w:r w:rsidRPr="00EC247F">
              <w:rPr>
                <w:b/>
                <w:bCs/>
                <w:i/>
                <w:lang w:val="lt-LT"/>
              </w:rPr>
              <w:t>Specializuotos pagalbos centras</w:t>
            </w:r>
            <w:r w:rsidRPr="00EC247F">
              <w:rPr>
                <w:bCs/>
                <w:i/>
                <w:lang w:val="lt-LT"/>
              </w:rPr>
              <w:t xml:space="preserve"> – įstaiga, kurios veiklos tikslas yra suteikti specializuotą kompleksinę pagalbą smurtą artimoje aplinkoje patyrusiems asmenims</w:t>
            </w:r>
            <w:r w:rsidRPr="00EC247F">
              <w:rPr>
                <w:rStyle w:val="FootnoteReference"/>
                <w:bCs/>
                <w:lang w:val="lt-LT"/>
              </w:rPr>
              <w:footnoteReference w:id="81"/>
            </w:r>
            <w:r w:rsidRPr="00EC247F">
              <w:rPr>
                <w:bCs/>
                <w:lang w:val="lt-LT"/>
              </w:rPr>
              <w:t>.</w:t>
            </w:r>
          </w:p>
          <w:p w14:paraId="51C18527" w14:textId="77777777" w:rsidR="00AE34FF" w:rsidRPr="00EC247F" w:rsidRDefault="00AE34FF" w:rsidP="000B6FA6">
            <w:pPr>
              <w:rPr>
                <w:bCs/>
                <w:lang w:val="lt-LT"/>
              </w:rPr>
            </w:pPr>
          </w:p>
          <w:p w14:paraId="3A394C5B" w14:textId="2753E92D" w:rsidR="00AE34FF" w:rsidRPr="00EC247F" w:rsidRDefault="00AE34FF" w:rsidP="00573D9A">
            <w:pPr>
              <w:rPr>
                <w:i/>
                <w:lang w:val="lt-LT"/>
              </w:rPr>
            </w:pPr>
            <w:r w:rsidRPr="00EC247F">
              <w:rPr>
                <w:bCs/>
                <w:i/>
                <w:lang w:val="lt-LT"/>
              </w:rPr>
              <w:t xml:space="preserve">Pasitelkdamas </w:t>
            </w:r>
            <w:r w:rsidRPr="002C5406">
              <w:rPr>
                <w:bCs/>
                <w:i/>
                <w:lang w:val="lt-LT"/>
              </w:rPr>
              <w:t xml:space="preserve">kitas pagalbą </w:t>
            </w:r>
            <w:r w:rsidR="002811B7" w:rsidRPr="002C5406">
              <w:rPr>
                <w:bCs/>
                <w:i/>
                <w:lang w:val="lt-LT"/>
              </w:rPr>
              <w:t xml:space="preserve">nuo </w:t>
            </w:r>
            <w:r w:rsidRPr="002C5406">
              <w:rPr>
                <w:bCs/>
                <w:i/>
                <w:lang w:val="lt-LT"/>
              </w:rPr>
              <w:t xml:space="preserve">smurto artimoje aplinkoje </w:t>
            </w:r>
            <w:r w:rsidR="002811B7" w:rsidRPr="002C5406">
              <w:rPr>
                <w:bCs/>
                <w:i/>
                <w:lang w:val="lt-LT"/>
              </w:rPr>
              <w:t xml:space="preserve">nukentėjusiesiems </w:t>
            </w:r>
            <w:r w:rsidRPr="002C5406">
              <w:rPr>
                <w:bCs/>
                <w:i/>
                <w:lang w:val="lt-LT"/>
              </w:rPr>
              <w:t>teikiančias</w:t>
            </w:r>
            <w:r w:rsidRPr="00EC247F">
              <w:rPr>
                <w:bCs/>
                <w:i/>
                <w:lang w:val="lt-LT"/>
              </w:rPr>
              <w:t xml:space="preserve"> organizacijas ar specialistus, specializuotos pagalbos centras suteikia teisinę, psichologinę pagalbą, kad asmuo įveiktų kritinę būklę, informuoja visais rūpimais klausimais ir konsultuoja, organizuoja ar tarpininkauja, kad tolesnę pagalbą teiktų kitos institucijos, jei asmuo pageidauja, tarpininkauja, kad smurtą patyrusiam asmeniui būtų suteikta medicinos pagalba. Siekdamas suteikti ilgalaikę pagalbą smurtą patyrusiam asmeniui, bendradarbiauja su savivaldybių ar nevyriausybinių organizacijų krizių centrais, teikiančiais </w:t>
            </w:r>
            <w:r w:rsidR="00573D9A" w:rsidRPr="00EC247F">
              <w:rPr>
                <w:bCs/>
                <w:i/>
                <w:lang w:val="lt-LT"/>
              </w:rPr>
              <w:t>nakvynės</w:t>
            </w:r>
            <w:r w:rsidRPr="00EC247F">
              <w:rPr>
                <w:bCs/>
                <w:i/>
                <w:lang w:val="lt-LT"/>
              </w:rPr>
              <w:t xml:space="preserve"> ar apgyvendinimo paslaugas, su socialinių paslaugų įstaigomis, policija, sveikatos priežiūros įstaigomis, teisinę pagalbą teikiančiomis institucijomis.</w:t>
            </w:r>
            <w:r w:rsidRPr="00EC247F">
              <w:rPr>
                <w:rStyle w:val="FootnoteReference"/>
                <w:bCs/>
                <w:i/>
                <w:lang w:val="lt-LT"/>
              </w:rPr>
              <w:footnoteReference w:id="82"/>
            </w:r>
          </w:p>
        </w:tc>
      </w:tr>
    </w:tbl>
    <w:p w14:paraId="1AB0B296" w14:textId="77777777" w:rsidR="00AE34FF" w:rsidRPr="00EC247F" w:rsidRDefault="00AE34FF" w:rsidP="009677FC">
      <w:pPr>
        <w:rPr>
          <w:lang w:val="lt-LT"/>
        </w:rPr>
      </w:pPr>
    </w:p>
    <w:p w14:paraId="65431CF9" w14:textId="77777777" w:rsidR="00AE34FF" w:rsidRPr="00EC247F" w:rsidRDefault="00AE34FF" w:rsidP="00AE34FF">
      <w:pPr>
        <w:jc w:val="center"/>
        <w:rPr>
          <w:b/>
          <w:lang w:val="lt-LT"/>
        </w:rPr>
      </w:pPr>
      <w:r w:rsidRPr="00EC247F">
        <w:rPr>
          <w:b/>
          <w:lang w:val="lt-LT"/>
        </w:rPr>
        <w:t>PILKOSIOS ZONOS</w:t>
      </w:r>
    </w:p>
    <w:p w14:paraId="07BFD460" w14:textId="77777777" w:rsidR="00AE34FF" w:rsidRPr="00EC247F" w:rsidRDefault="00AE34FF" w:rsidP="009677FC">
      <w:pPr>
        <w:rPr>
          <w:lang w:val="lt-LT"/>
        </w:rPr>
      </w:pPr>
    </w:p>
    <w:tbl>
      <w:tblPr>
        <w:tblStyle w:val="TableGrid"/>
        <w:tblW w:w="15745" w:type="dxa"/>
        <w:jc w:val="center"/>
        <w:tblLayout w:type="fixed"/>
        <w:tblCellMar>
          <w:left w:w="115" w:type="dxa"/>
          <w:right w:w="115" w:type="dxa"/>
        </w:tblCellMar>
        <w:tblLook w:val="04A0" w:firstRow="1" w:lastRow="0" w:firstColumn="1" w:lastColumn="0" w:noHBand="0" w:noVBand="1"/>
      </w:tblPr>
      <w:tblGrid>
        <w:gridCol w:w="570"/>
        <w:gridCol w:w="3115"/>
        <w:gridCol w:w="2340"/>
        <w:gridCol w:w="1440"/>
        <w:gridCol w:w="8280"/>
      </w:tblGrid>
      <w:tr w:rsidR="00AE34FF" w:rsidRPr="00EC247F" w14:paraId="6E3F5CC2" w14:textId="77777777" w:rsidTr="001D6AC0">
        <w:trPr>
          <w:jc w:val="center"/>
        </w:trPr>
        <w:tc>
          <w:tcPr>
            <w:tcW w:w="570" w:type="dxa"/>
            <w:vAlign w:val="center"/>
          </w:tcPr>
          <w:p w14:paraId="35EBF458" w14:textId="77777777" w:rsidR="00AE34FF" w:rsidRPr="00EC247F" w:rsidRDefault="00AE34FF" w:rsidP="00524C2A">
            <w:pPr>
              <w:rPr>
                <w:b/>
                <w:lang w:val="lt-LT"/>
              </w:rPr>
            </w:pPr>
            <w:r w:rsidRPr="00EC247F">
              <w:rPr>
                <w:b/>
                <w:lang w:val="lt-LT"/>
              </w:rPr>
              <w:t>Nr.</w:t>
            </w:r>
          </w:p>
        </w:tc>
        <w:tc>
          <w:tcPr>
            <w:tcW w:w="3115" w:type="dxa"/>
            <w:vAlign w:val="center"/>
          </w:tcPr>
          <w:p w14:paraId="38099349" w14:textId="77777777" w:rsidR="00AE34FF" w:rsidRPr="00EC247F" w:rsidRDefault="00AE34FF" w:rsidP="00524C2A">
            <w:pPr>
              <w:jc w:val="center"/>
              <w:rPr>
                <w:b/>
                <w:lang w:val="lt-LT"/>
              </w:rPr>
            </w:pPr>
            <w:r w:rsidRPr="00EC247F">
              <w:rPr>
                <w:b/>
                <w:lang w:val="lt-LT"/>
              </w:rPr>
              <w:t>Rodiklio sritis / pavadinimas</w:t>
            </w:r>
          </w:p>
        </w:tc>
        <w:tc>
          <w:tcPr>
            <w:tcW w:w="2340" w:type="dxa"/>
            <w:vAlign w:val="center"/>
          </w:tcPr>
          <w:p w14:paraId="62641DA7" w14:textId="77777777" w:rsidR="00AE34FF" w:rsidRPr="00EC247F" w:rsidRDefault="00AE34FF" w:rsidP="00524C2A">
            <w:pPr>
              <w:jc w:val="center"/>
              <w:rPr>
                <w:b/>
                <w:lang w:val="lt-LT"/>
              </w:rPr>
            </w:pPr>
            <w:r w:rsidRPr="00EC247F">
              <w:rPr>
                <w:b/>
                <w:lang w:val="lt-LT"/>
              </w:rPr>
              <w:t>Dimensijos</w:t>
            </w:r>
          </w:p>
        </w:tc>
        <w:tc>
          <w:tcPr>
            <w:tcW w:w="1440" w:type="dxa"/>
            <w:vAlign w:val="center"/>
          </w:tcPr>
          <w:p w14:paraId="643D70DD" w14:textId="77777777" w:rsidR="00AE34FF" w:rsidRPr="00EC247F" w:rsidRDefault="00AE34FF" w:rsidP="00524C2A">
            <w:pPr>
              <w:jc w:val="center"/>
              <w:rPr>
                <w:b/>
                <w:lang w:val="lt-LT"/>
              </w:rPr>
            </w:pPr>
            <w:r w:rsidRPr="00EC247F">
              <w:rPr>
                <w:b/>
                <w:lang w:val="lt-LT"/>
              </w:rPr>
              <w:t>Rengėjas/ Šaltinis</w:t>
            </w:r>
          </w:p>
        </w:tc>
        <w:tc>
          <w:tcPr>
            <w:tcW w:w="8280" w:type="dxa"/>
            <w:vAlign w:val="center"/>
          </w:tcPr>
          <w:p w14:paraId="241FAD12" w14:textId="5CB1038C" w:rsidR="00AE34FF" w:rsidRPr="00EC247F" w:rsidRDefault="00AE34FF" w:rsidP="00524C2A">
            <w:pPr>
              <w:jc w:val="center"/>
              <w:rPr>
                <w:b/>
                <w:lang w:val="lt-LT"/>
              </w:rPr>
            </w:pPr>
            <w:r w:rsidRPr="00EC247F">
              <w:rPr>
                <w:b/>
                <w:lang w:val="lt-LT"/>
              </w:rPr>
              <w:t>Aprašas</w:t>
            </w:r>
            <w:r w:rsidR="001D6AC0" w:rsidRPr="00EC247F">
              <w:rPr>
                <w:b/>
                <w:lang w:val="lt-LT"/>
              </w:rPr>
              <w:t xml:space="preserve"> ir problematika</w:t>
            </w:r>
          </w:p>
        </w:tc>
      </w:tr>
      <w:tr w:rsidR="00AE34FF" w:rsidRPr="00EC247F" w14:paraId="323131AF" w14:textId="77777777" w:rsidTr="00524C2A">
        <w:trPr>
          <w:jc w:val="center"/>
        </w:trPr>
        <w:tc>
          <w:tcPr>
            <w:tcW w:w="15745" w:type="dxa"/>
            <w:gridSpan w:val="5"/>
          </w:tcPr>
          <w:p w14:paraId="0FD67AC9" w14:textId="4ADC4E80" w:rsidR="00AE34FF" w:rsidRPr="00EC247F" w:rsidRDefault="001D6AC0" w:rsidP="00524C2A">
            <w:pPr>
              <w:jc w:val="center"/>
              <w:rPr>
                <w:b/>
                <w:lang w:val="lt-LT"/>
              </w:rPr>
            </w:pPr>
            <w:r w:rsidRPr="00EC247F">
              <w:rPr>
                <w:b/>
                <w:lang w:val="lt-LT"/>
              </w:rPr>
              <w:t>Dalyvavimas darbo rinkoje</w:t>
            </w:r>
          </w:p>
        </w:tc>
      </w:tr>
      <w:tr w:rsidR="00AE34FF" w:rsidRPr="00485D1C" w14:paraId="6643A165" w14:textId="77777777" w:rsidTr="001D6AC0">
        <w:trPr>
          <w:jc w:val="center"/>
        </w:trPr>
        <w:tc>
          <w:tcPr>
            <w:tcW w:w="570" w:type="dxa"/>
            <w:tcBorders>
              <w:bottom w:val="single" w:sz="4" w:space="0" w:color="auto"/>
            </w:tcBorders>
            <w:shd w:val="clear" w:color="auto" w:fill="auto"/>
          </w:tcPr>
          <w:p w14:paraId="244BD70D" w14:textId="77777777" w:rsidR="00AE34FF" w:rsidRPr="00EC247F" w:rsidRDefault="00AE34FF" w:rsidP="00524C2A">
            <w:pPr>
              <w:rPr>
                <w:lang w:val="lt-LT"/>
              </w:rPr>
            </w:pPr>
            <w:r w:rsidRPr="00EC247F">
              <w:rPr>
                <w:lang w:val="lt-LT"/>
              </w:rPr>
              <w:t>1.</w:t>
            </w:r>
          </w:p>
        </w:tc>
        <w:tc>
          <w:tcPr>
            <w:tcW w:w="3115" w:type="dxa"/>
            <w:tcBorders>
              <w:bottom w:val="single" w:sz="4" w:space="0" w:color="auto"/>
            </w:tcBorders>
            <w:shd w:val="clear" w:color="auto" w:fill="auto"/>
          </w:tcPr>
          <w:p w14:paraId="230BD945" w14:textId="77777777" w:rsidR="001D6AC0" w:rsidRPr="00EC247F" w:rsidRDefault="001D6AC0" w:rsidP="001D6AC0">
            <w:pPr>
              <w:rPr>
                <w:lang w:val="lt-LT"/>
              </w:rPr>
            </w:pPr>
            <w:r w:rsidRPr="00EC247F">
              <w:rPr>
                <w:lang w:val="lt-LT"/>
              </w:rPr>
              <w:t>Savarankiškai dirbantys asmenys</w:t>
            </w:r>
          </w:p>
          <w:p w14:paraId="0C85C459" w14:textId="18342212" w:rsidR="00AE34FF" w:rsidRPr="00EC247F" w:rsidRDefault="00AE34FF" w:rsidP="00524C2A">
            <w:pPr>
              <w:rPr>
                <w:lang w:val="lt-LT"/>
              </w:rPr>
            </w:pPr>
          </w:p>
        </w:tc>
        <w:tc>
          <w:tcPr>
            <w:tcW w:w="2340" w:type="dxa"/>
          </w:tcPr>
          <w:p w14:paraId="1C60FCB1" w14:textId="77777777" w:rsidR="001D6AC0" w:rsidRPr="00EC247F" w:rsidRDefault="001D6AC0" w:rsidP="001D6AC0">
            <w:pPr>
              <w:rPr>
                <w:lang w:val="lt-LT"/>
              </w:rPr>
            </w:pPr>
            <w:r w:rsidRPr="00EC247F">
              <w:rPr>
                <w:lang w:val="lt-LT"/>
              </w:rPr>
              <w:t xml:space="preserve">Savivaldybės </w:t>
            </w:r>
          </w:p>
          <w:p w14:paraId="4FCACCD2" w14:textId="77777777" w:rsidR="001D6AC0" w:rsidRPr="00EC247F" w:rsidRDefault="001D6AC0" w:rsidP="001D6AC0">
            <w:pPr>
              <w:rPr>
                <w:lang w:val="lt-LT"/>
              </w:rPr>
            </w:pPr>
            <w:r w:rsidRPr="00EC247F">
              <w:rPr>
                <w:lang w:val="lt-LT"/>
              </w:rPr>
              <w:t>Lytis</w:t>
            </w:r>
          </w:p>
          <w:p w14:paraId="322068CF" w14:textId="77777777" w:rsidR="001D6AC0" w:rsidRPr="00EC247F" w:rsidRDefault="001D6AC0" w:rsidP="001D6AC0">
            <w:pPr>
              <w:rPr>
                <w:lang w:val="lt-LT"/>
              </w:rPr>
            </w:pPr>
            <w:r w:rsidRPr="00EC247F">
              <w:rPr>
                <w:lang w:val="lt-LT"/>
              </w:rPr>
              <w:t>Užimtumo pobūdis (turintys samdomų darbuotojų,</w:t>
            </w:r>
          </w:p>
          <w:p w14:paraId="3F48021D" w14:textId="2061A2D8" w:rsidR="00AE34FF" w:rsidRPr="00EC247F" w:rsidRDefault="001D6AC0" w:rsidP="001D6AC0">
            <w:pPr>
              <w:rPr>
                <w:lang w:val="lt-LT"/>
              </w:rPr>
            </w:pPr>
            <w:r w:rsidRPr="00EC247F">
              <w:rPr>
                <w:lang w:val="lt-LT"/>
              </w:rPr>
              <w:t>neturintys samdomų darbuotojų)</w:t>
            </w:r>
          </w:p>
        </w:tc>
        <w:tc>
          <w:tcPr>
            <w:tcW w:w="1440" w:type="dxa"/>
          </w:tcPr>
          <w:p w14:paraId="56F4B796" w14:textId="5C2C5877" w:rsidR="00AE34FF" w:rsidRPr="00EC247F" w:rsidRDefault="0077304A" w:rsidP="00524C2A">
            <w:pPr>
              <w:rPr>
                <w:lang w:val="lt-LT"/>
              </w:rPr>
            </w:pPr>
            <w:r w:rsidRPr="00EC247F">
              <w:rPr>
                <w:lang w:val="lt-LT"/>
              </w:rPr>
              <w:t>SODRA</w:t>
            </w:r>
          </w:p>
        </w:tc>
        <w:tc>
          <w:tcPr>
            <w:tcW w:w="8280" w:type="dxa"/>
          </w:tcPr>
          <w:p w14:paraId="2367F58B" w14:textId="018B84D0" w:rsidR="00AE34FF" w:rsidRPr="00EC247F" w:rsidRDefault="00DC54A4" w:rsidP="00573D9A">
            <w:pPr>
              <w:rPr>
                <w:lang w:val="lt-LT"/>
              </w:rPr>
            </w:pPr>
            <w:r w:rsidRPr="00EC247F">
              <w:rPr>
                <w:bCs/>
                <w:lang w:val="lt-LT"/>
              </w:rPr>
              <w:t>Pagal SODROS turimą informaciją, galima darbuotojus skirstyti į savarankiškai dirbančius ir samdomus darbuotojus. Tačiau nėra galimybės savarankiškai dirbančiųjų skaidyti į turinčius samdomų darbuotojų ir neturinčius samdomų darbuotojų. Tokia informacija būtina siekiant tiksliai įvertinti moterų ir vyrų verslumo lygį</w:t>
            </w:r>
            <w:r w:rsidR="00FA24ED" w:rsidRPr="00EC247F">
              <w:rPr>
                <w:bCs/>
                <w:lang w:val="lt-LT"/>
              </w:rPr>
              <w:t>, nes Lietuvoje gana populiarus darbas pagal individualios veiklos pažymą, kuomet darbuotojas traktuojamas kaip savarankiškai dirbantis,</w:t>
            </w:r>
            <w:r w:rsidR="000D01AC" w:rsidRPr="00EC247F">
              <w:rPr>
                <w:bCs/>
                <w:lang w:val="lt-LT"/>
              </w:rPr>
              <w:t xml:space="preserve"> realybėje nebūtinai atspindi ekonominę autonomiją (nuo darbdavio). Tai greičiau ne tik </w:t>
            </w:r>
            <w:r w:rsidR="000D01AC" w:rsidRPr="00EC247F">
              <w:rPr>
                <w:bCs/>
                <w:lang w:val="lt-LT"/>
              </w:rPr>
              <w:lastRenderedPageBreak/>
              <w:t xml:space="preserve">Lietuvoje, bet ir kitose išsivysčiusiose valstybėse plintančio </w:t>
            </w:r>
            <w:proofErr w:type="spellStart"/>
            <w:r w:rsidR="000D01AC" w:rsidRPr="00EC247F">
              <w:rPr>
                <w:bCs/>
                <w:lang w:val="lt-LT"/>
              </w:rPr>
              <w:t>prekariteto</w:t>
            </w:r>
            <w:proofErr w:type="spellEnd"/>
            <w:r w:rsidR="000D01AC" w:rsidRPr="00EC247F">
              <w:rPr>
                <w:bCs/>
                <w:lang w:val="lt-LT"/>
              </w:rPr>
              <w:t xml:space="preserve"> požymiai, kuomet siekiant mokėti mažesnius mokesčius pakeičiami darbo santykiai, perkeliant administravimo, mokesčių apskaitos naštą ir atsakomybę darbuotojui,</w:t>
            </w:r>
            <w:r w:rsidR="00573D9A" w:rsidRPr="00EC247F">
              <w:rPr>
                <w:bCs/>
                <w:lang w:val="lt-LT"/>
              </w:rPr>
              <w:t xml:space="preserve"> dėl</w:t>
            </w:r>
            <w:r w:rsidR="000D01AC" w:rsidRPr="00EC247F">
              <w:rPr>
                <w:bCs/>
                <w:lang w:val="lt-LT"/>
              </w:rPr>
              <w:t xml:space="preserve"> ko darbuotojas dar ir tampa mažiau socialiai apsaugotas.</w:t>
            </w:r>
          </w:p>
        </w:tc>
      </w:tr>
      <w:tr w:rsidR="001D6AC0" w:rsidRPr="00485D1C" w14:paraId="133551DB" w14:textId="77777777" w:rsidTr="001D6AC0">
        <w:trPr>
          <w:jc w:val="center"/>
        </w:trPr>
        <w:tc>
          <w:tcPr>
            <w:tcW w:w="570" w:type="dxa"/>
            <w:shd w:val="clear" w:color="auto" w:fill="auto"/>
          </w:tcPr>
          <w:p w14:paraId="4B939FF8" w14:textId="77777777" w:rsidR="001D6AC0" w:rsidRPr="00EC247F" w:rsidRDefault="001D6AC0" w:rsidP="00524C2A">
            <w:pPr>
              <w:rPr>
                <w:lang w:val="lt-LT"/>
              </w:rPr>
            </w:pPr>
            <w:r w:rsidRPr="00EC247F">
              <w:rPr>
                <w:lang w:val="lt-LT"/>
              </w:rPr>
              <w:lastRenderedPageBreak/>
              <w:t>2.</w:t>
            </w:r>
          </w:p>
        </w:tc>
        <w:tc>
          <w:tcPr>
            <w:tcW w:w="3115" w:type="dxa"/>
            <w:shd w:val="clear" w:color="auto" w:fill="auto"/>
          </w:tcPr>
          <w:p w14:paraId="796CC5BB" w14:textId="1FABFB13" w:rsidR="001D6AC0" w:rsidRPr="00EC247F" w:rsidRDefault="001D6AC0" w:rsidP="00524C2A">
            <w:pPr>
              <w:rPr>
                <w:lang w:val="lt-LT"/>
              </w:rPr>
            </w:pPr>
            <w:r w:rsidRPr="00EC247F">
              <w:rPr>
                <w:lang w:val="lt-LT"/>
              </w:rPr>
              <w:t>Ne visą darbo laiką dirbančių tėvų užimtumo skirtumai</w:t>
            </w:r>
          </w:p>
        </w:tc>
        <w:tc>
          <w:tcPr>
            <w:tcW w:w="2340" w:type="dxa"/>
          </w:tcPr>
          <w:p w14:paraId="007C43ED" w14:textId="77777777" w:rsidR="001D6AC0" w:rsidRPr="00EC247F" w:rsidRDefault="001D6AC0" w:rsidP="001D6AC0">
            <w:pPr>
              <w:rPr>
                <w:lang w:val="lt-LT"/>
              </w:rPr>
            </w:pPr>
            <w:r w:rsidRPr="00EC247F">
              <w:rPr>
                <w:lang w:val="lt-LT"/>
              </w:rPr>
              <w:t xml:space="preserve">Savivaldybės </w:t>
            </w:r>
          </w:p>
          <w:p w14:paraId="2E05936D" w14:textId="64673DD5" w:rsidR="00D724FC" w:rsidRPr="00EC247F" w:rsidRDefault="001D6AC0" w:rsidP="001D6AC0">
            <w:pPr>
              <w:rPr>
                <w:lang w:val="lt-LT"/>
              </w:rPr>
            </w:pPr>
            <w:r w:rsidRPr="00EC247F">
              <w:rPr>
                <w:lang w:val="lt-LT"/>
              </w:rPr>
              <w:t>Lytis</w:t>
            </w:r>
            <w:r w:rsidR="00D724FC">
              <w:rPr>
                <w:lang w:val="lt-LT"/>
              </w:rPr>
              <w:t xml:space="preserve"> </w:t>
            </w:r>
          </w:p>
        </w:tc>
        <w:tc>
          <w:tcPr>
            <w:tcW w:w="1440" w:type="dxa"/>
          </w:tcPr>
          <w:p w14:paraId="360C3EB2" w14:textId="4977435A" w:rsidR="001D6AC0" w:rsidRPr="00EC247F" w:rsidRDefault="00573D9A" w:rsidP="00524C2A">
            <w:pPr>
              <w:rPr>
                <w:lang w:val="lt-LT"/>
              </w:rPr>
            </w:pPr>
            <w:r w:rsidRPr="00EC247F">
              <w:rPr>
                <w:lang w:val="lt-LT"/>
              </w:rPr>
              <w:t xml:space="preserve">LSD </w:t>
            </w:r>
          </w:p>
        </w:tc>
        <w:tc>
          <w:tcPr>
            <w:tcW w:w="8280" w:type="dxa"/>
          </w:tcPr>
          <w:p w14:paraId="0ECE162C" w14:textId="2FBDB4B5" w:rsidR="001D6AC0" w:rsidRPr="00EC247F" w:rsidRDefault="00535DA7" w:rsidP="00304296">
            <w:pPr>
              <w:rPr>
                <w:lang w:val="lt-LT"/>
              </w:rPr>
            </w:pPr>
            <w:r w:rsidRPr="00EC247F">
              <w:rPr>
                <w:lang w:val="lt-LT"/>
              </w:rPr>
              <w:t>Vienas iš ES tikslų – pasiekti, kad moterys ir vyrai priežiūros ir buities pareigoms skirtų vienodesnę dalį laiko ir kad būtų užtikrintos galimybės lengviau suderinti priežiūros ir profesines pareigas</w:t>
            </w:r>
            <w:r w:rsidRPr="00EC247F">
              <w:rPr>
                <w:rStyle w:val="FootnoteReference"/>
                <w:lang w:val="lt-LT"/>
              </w:rPr>
              <w:footnoteReference w:id="83"/>
            </w:r>
            <w:r w:rsidR="0077304A" w:rsidRPr="00EC247F">
              <w:rPr>
                <w:lang w:val="lt-LT"/>
              </w:rPr>
              <w:t>. Šis rodiklis padėtų atskleisti, kaip vaikų turėjimas veikia moterų ir vyrų užimtumą Lietuvos savivaldybėse. Tačiau jis apskaičiuojamas atrankinių tyrimų duomenų pagrindu (</w:t>
            </w:r>
            <w:r w:rsidR="00785CC0" w:rsidRPr="00EC247F">
              <w:rPr>
                <w:lang w:val="lt-LT"/>
              </w:rPr>
              <w:t xml:space="preserve">šiuo atveju – </w:t>
            </w:r>
            <w:proofErr w:type="spellStart"/>
            <w:r w:rsidR="0077304A" w:rsidRPr="00EC247F">
              <w:rPr>
                <w:i/>
                <w:lang w:val="lt-LT"/>
              </w:rPr>
              <w:t>European</w:t>
            </w:r>
            <w:proofErr w:type="spellEnd"/>
            <w:r w:rsidR="0077304A" w:rsidRPr="00EC247F">
              <w:rPr>
                <w:i/>
                <w:lang w:val="lt-LT"/>
              </w:rPr>
              <w:t xml:space="preserve"> </w:t>
            </w:r>
            <w:proofErr w:type="spellStart"/>
            <w:r w:rsidR="0077304A" w:rsidRPr="00EC247F">
              <w:rPr>
                <w:i/>
                <w:lang w:val="lt-LT"/>
              </w:rPr>
              <w:t>Union</w:t>
            </w:r>
            <w:proofErr w:type="spellEnd"/>
            <w:r w:rsidR="0077304A" w:rsidRPr="00EC247F">
              <w:rPr>
                <w:i/>
                <w:lang w:val="lt-LT"/>
              </w:rPr>
              <w:t xml:space="preserve"> </w:t>
            </w:r>
            <w:proofErr w:type="spellStart"/>
            <w:r w:rsidR="0077304A" w:rsidRPr="00EC247F">
              <w:rPr>
                <w:i/>
                <w:lang w:val="lt-LT"/>
              </w:rPr>
              <w:t>Labour</w:t>
            </w:r>
            <w:proofErr w:type="spellEnd"/>
            <w:r w:rsidR="0077304A" w:rsidRPr="00EC247F">
              <w:rPr>
                <w:i/>
                <w:lang w:val="lt-LT"/>
              </w:rPr>
              <w:t xml:space="preserve"> Force </w:t>
            </w:r>
            <w:proofErr w:type="spellStart"/>
            <w:r w:rsidR="0077304A" w:rsidRPr="00EC247F">
              <w:rPr>
                <w:i/>
                <w:lang w:val="lt-LT"/>
              </w:rPr>
              <w:t>Survey</w:t>
            </w:r>
            <w:proofErr w:type="spellEnd"/>
            <w:r w:rsidR="0077304A" w:rsidRPr="00EC247F">
              <w:rPr>
                <w:lang w:val="lt-LT"/>
              </w:rPr>
              <w:t xml:space="preserve"> (EU-LFS)</w:t>
            </w:r>
            <w:r w:rsidR="00785CC0" w:rsidRPr="00EC247F">
              <w:rPr>
                <w:lang w:val="lt-LT"/>
              </w:rPr>
              <w:t xml:space="preserve"> ir tinkamas tik analizei visos šalies mastu, dėl </w:t>
            </w:r>
            <w:r w:rsidR="00304296" w:rsidRPr="00EC247F">
              <w:rPr>
                <w:lang w:val="lt-LT"/>
              </w:rPr>
              <w:t>nepakankamo</w:t>
            </w:r>
            <w:r w:rsidR="00F25638">
              <w:rPr>
                <w:lang w:val="lt-LT"/>
              </w:rPr>
              <w:t xml:space="preserve"> respondentų skaičiaus</w:t>
            </w:r>
            <w:r w:rsidR="00785CC0" w:rsidRPr="00EC247F">
              <w:rPr>
                <w:lang w:val="lt-LT"/>
              </w:rPr>
              <w:t xml:space="preserve"> pjūviai pagal savivaldybes nebūtų reprezentatyvūs. Lietuvoje nėra institucijos, kuri rink</w:t>
            </w:r>
            <w:r w:rsidR="00DB6367" w:rsidRPr="00EC247F">
              <w:rPr>
                <w:lang w:val="lt-LT"/>
              </w:rPr>
              <w:t>t</w:t>
            </w:r>
            <w:r w:rsidR="00785CC0" w:rsidRPr="00EC247F">
              <w:rPr>
                <w:lang w:val="lt-LT"/>
              </w:rPr>
              <w:t xml:space="preserve">ų informaciją apie darbuotojų </w:t>
            </w:r>
            <w:r w:rsidR="00DB6367" w:rsidRPr="00EC247F">
              <w:rPr>
                <w:lang w:val="lt-LT"/>
              </w:rPr>
              <w:t xml:space="preserve">darbo </w:t>
            </w:r>
            <w:r w:rsidR="00785CC0" w:rsidRPr="00EC247F">
              <w:rPr>
                <w:lang w:val="lt-LT"/>
              </w:rPr>
              <w:t>laiką</w:t>
            </w:r>
            <w:r w:rsidR="00330D24" w:rsidRPr="00EC247F">
              <w:rPr>
                <w:lang w:val="lt-LT"/>
              </w:rPr>
              <w:t>, todėl administracinių duomenų, kuriais būtų galima remtis, taip pat nėra.</w:t>
            </w:r>
            <w:r w:rsidR="00785CC0" w:rsidRPr="00EC247F">
              <w:rPr>
                <w:lang w:val="lt-LT"/>
              </w:rPr>
              <w:t xml:space="preserve"> </w:t>
            </w:r>
          </w:p>
        </w:tc>
      </w:tr>
      <w:tr w:rsidR="001D6AC0" w:rsidRPr="00EC247F" w14:paraId="37634CBD" w14:textId="77777777" w:rsidTr="00524C2A">
        <w:trPr>
          <w:jc w:val="center"/>
        </w:trPr>
        <w:tc>
          <w:tcPr>
            <w:tcW w:w="15745" w:type="dxa"/>
            <w:gridSpan w:val="5"/>
          </w:tcPr>
          <w:p w14:paraId="3BD00BD9" w14:textId="4BF197A8" w:rsidR="001D6AC0" w:rsidRPr="00EC247F" w:rsidRDefault="001D6AC0" w:rsidP="001D6AC0">
            <w:pPr>
              <w:shd w:val="clear" w:color="auto" w:fill="FFFFFF"/>
              <w:spacing w:before="100" w:beforeAutospacing="1" w:after="100" w:afterAutospacing="1"/>
              <w:jc w:val="center"/>
              <w:rPr>
                <w:highlight w:val="yellow"/>
                <w:lang w:val="lt-LT"/>
              </w:rPr>
            </w:pPr>
            <w:r w:rsidRPr="00EC247F">
              <w:rPr>
                <w:b/>
                <w:lang w:val="lt-LT"/>
              </w:rPr>
              <w:t>Ekonominė galia</w:t>
            </w:r>
          </w:p>
        </w:tc>
      </w:tr>
      <w:tr w:rsidR="00776149" w:rsidRPr="00485D1C" w14:paraId="282A13EC" w14:textId="77777777" w:rsidTr="001D6AC0">
        <w:trPr>
          <w:jc w:val="center"/>
        </w:trPr>
        <w:tc>
          <w:tcPr>
            <w:tcW w:w="570" w:type="dxa"/>
          </w:tcPr>
          <w:p w14:paraId="7783BE61" w14:textId="1ABE1C73" w:rsidR="00776149" w:rsidRPr="00EC247F" w:rsidRDefault="00702435" w:rsidP="001D6AC0">
            <w:pPr>
              <w:rPr>
                <w:lang w:val="lt-LT"/>
              </w:rPr>
            </w:pPr>
            <w:r>
              <w:rPr>
                <w:lang w:val="lt-LT"/>
              </w:rPr>
              <w:t>3</w:t>
            </w:r>
            <w:r w:rsidR="00776149" w:rsidRPr="00EC247F">
              <w:rPr>
                <w:lang w:val="lt-LT"/>
              </w:rPr>
              <w:t>.</w:t>
            </w:r>
          </w:p>
          <w:p w14:paraId="142B99A2" w14:textId="77777777" w:rsidR="00776149" w:rsidRPr="00EC247F" w:rsidRDefault="00776149" w:rsidP="001D6AC0">
            <w:pPr>
              <w:rPr>
                <w:lang w:val="lt-LT"/>
              </w:rPr>
            </w:pPr>
          </w:p>
        </w:tc>
        <w:tc>
          <w:tcPr>
            <w:tcW w:w="3115" w:type="dxa"/>
          </w:tcPr>
          <w:p w14:paraId="67B1A235" w14:textId="2897B881" w:rsidR="00776149" w:rsidRPr="00EC247F" w:rsidRDefault="00776149" w:rsidP="001D6AC0">
            <w:pPr>
              <w:rPr>
                <w:lang w:val="lt-LT"/>
              </w:rPr>
            </w:pPr>
            <w:r w:rsidRPr="00EC247F">
              <w:rPr>
                <w:lang w:val="lt-LT"/>
              </w:rPr>
              <w:t xml:space="preserve">Bendrosios gyventojų pajamos </w:t>
            </w:r>
          </w:p>
        </w:tc>
        <w:tc>
          <w:tcPr>
            <w:tcW w:w="2340" w:type="dxa"/>
          </w:tcPr>
          <w:p w14:paraId="41AD4CC4" w14:textId="77777777" w:rsidR="00776149" w:rsidRPr="00EC247F" w:rsidRDefault="00776149" w:rsidP="001D6AC0">
            <w:pPr>
              <w:rPr>
                <w:lang w:val="lt-LT"/>
              </w:rPr>
            </w:pPr>
            <w:r w:rsidRPr="00EC247F">
              <w:rPr>
                <w:lang w:val="lt-LT"/>
              </w:rPr>
              <w:t xml:space="preserve">Savivaldybės </w:t>
            </w:r>
          </w:p>
          <w:p w14:paraId="3066C78E" w14:textId="77777777" w:rsidR="00776149" w:rsidRPr="00EC247F" w:rsidRDefault="00776149" w:rsidP="001D6AC0">
            <w:pPr>
              <w:rPr>
                <w:lang w:val="lt-LT"/>
              </w:rPr>
            </w:pPr>
            <w:r w:rsidRPr="00EC247F">
              <w:rPr>
                <w:lang w:val="lt-LT"/>
              </w:rPr>
              <w:t>Lytis</w:t>
            </w:r>
          </w:p>
          <w:p w14:paraId="65F99B56" w14:textId="72026FF2" w:rsidR="00776149" w:rsidRPr="00EC247F" w:rsidRDefault="00776149" w:rsidP="001D6AC0">
            <w:pPr>
              <w:rPr>
                <w:lang w:val="lt-LT"/>
              </w:rPr>
            </w:pPr>
            <w:r w:rsidRPr="00EC247F">
              <w:rPr>
                <w:lang w:val="lt-LT"/>
              </w:rPr>
              <w:t>Amžius</w:t>
            </w:r>
          </w:p>
        </w:tc>
        <w:tc>
          <w:tcPr>
            <w:tcW w:w="1440" w:type="dxa"/>
            <w:vMerge w:val="restart"/>
          </w:tcPr>
          <w:p w14:paraId="45C13231" w14:textId="6DE0D73A" w:rsidR="00776149" w:rsidRPr="00EC247F" w:rsidRDefault="00776149" w:rsidP="001D6AC0">
            <w:pPr>
              <w:rPr>
                <w:lang w:val="lt-LT"/>
              </w:rPr>
            </w:pPr>
            <w:r w:rsidRPr="00EC247F">
              <w:rPr>
                <w:lang w:val="lt-LT"/>
              </w:rPr>
              <w:t>VMI/ SODRA/ LSD</w:t>
            </w:r>
          </w:p>
        </w:tc>
        <w:tc>
          <w:tcPr>
            <w:tcW w:w="8280" w:type="dxa"/>
            <w:vMerge w:val="restart"/>
          </w:tcPr>
          <w:p w14:paraId="1FAF6E60" w14:textId="5A43DE00" w:rsidR="0009144B" w:rsidRPr="00EC247F" w:rsidRDefault="00776149" w:rsidP="00FE33D9">
            <w:pPr>
              <w:rPr>
                <w:lang w:val="lt-LT"/>
              </w:rPr>
            </w:pPr>
            <w:r w:rsidRPr="00EC247F">
              <w:rPr>
                <w:lang w:val="lt-LT"/>
              </w:rPr>
              <w:t>Analizuojant lyčių lygybę savivald</w:t>
            </w:r>
            <w:r w:rsidR="00647574">
              <w:rPr>
                <w:lang w:val="lt-LT"/>
              </w:rPr>
              <w:t>ybėse ekonominės galios aspektu</w:t>
            </w:r>
            <w:r w:rsidRPr="00EC247F">
              <w:rPr>
                <w:lang w:val="lt-LT"/>
              </w:rPr>
              <w:t xml:space="preserve"> būtų labai svarbu įvertinti gyventojų gaunamų bendrųjų pajamų (per mėnesį ar metus) dydžius, nes ne visų gyventojų pajamos yra susijusios tik su darbo santykiais. </w:t>
            </w:r>
            <w:r w:rsidR="007B1D85" w:rsidRPr="00EC247F">
              <w:rPr>
                <w:lang w:val="lt-LT"/>
              </w:rPr>
              <w:t xml:space="preserve">Vis dėlto, šiuo metu įvertinti bendrąsias gyventojų pajamas nėra galimybės, nes dalis pajamų apmokestinama, kitos ne (pavyzdžiui, pensijos), taip pat pajamas ir mokesčius nuo skirtingų pajamų rūšių administruoja skirtingos institucijos, pavyzdžiui, </w:t>
            </w:r>
            <w:r w:rsidRPr="00EC247F">
              <w:rPr>
                <w:lang w:val="lt-LT"/>
              </w:rPr>
              <w:t>SODRA turi informacijos apie gaunamą darbo užmokestį, bet neturi apie gaunamas kitų rūšių pajamas (dividendai; palūkanos; individualios įmonės savininko pajamos, gautos iš šios įmonės apmokestinto pelno</w:t>
            </w:r>
            <w:r w:rsidR="007B1D85" w:rsidRPr="00EC247F">
              <w:rPr>
                <w:lang w:val="lt-LT"/>
              </w:rPr>
              <w:t>;</w:t>
            </w:r>
            <w:r w:rsidRPr="00EC247F">
              <w:rPr>
                <w:rFonts w:ascii="Helvetica" w:hAnsi="Helvetica"/>
                <w:color w:val="000000"/>
                <w:sz w:val="21"/>
                <w:szCs w:val="21"/>
                <w:shd w:val="clear" w:color="auto" w:fill="FFFFFF"/>
                <w:lang w:val="lt-LT"/>
              </w:rPr>
              <w:t xml:space="preserve"> </w:t>
            </w:r>
            <w:r w:rsidRPr="00EC247F">
              <w:rPr>
                <w:lang w:val="lt-LT"/>
              </w:rPr>
              <w:t xml:space="preserve">individualios veiklos pajamos, įskaitant pajamas, gautas verčiantis veikla pagal verslo liudijimą ir individualios veiklos vykdymo pažymą; pajamos už kilnojamojo ar nekilnojamojo daikto nuomą, etc.). </w:t>
            </w:r>
            <w:r w:rsidR="007B1D85" w:rsidRPr="00EC247F">
              <w:rPr>
                <w:lang w:val="lt-LT"/>
              </w:rPr>
              <w:t xml:space="preserve">Duomenis apie kitų rūšių pajamas kaupia VMI, tačiau duomenų bazė nėra susieta su SODROS duomenų baze. Kol nebus </w:t>
            </w:r>
            <w:r w:rsidR="00305AC7" w:rsidRPr="00EC247F">
              <w:rPr>
                <w:lang w:val="lt-LT"/>
              </w:rPr>
              <w:t xml:space="preserve">įteisintas privalomas pajamų ir turto deklaravimas, tikėtina, </w:t>
            </w:r>
            <w:r w:rsidR="00E245DA" w:rsidRPr="00EC247F">
              <w:rPr>
                <w:lang w:val="lt-LT"/>
              </w:rPr>
              <w:t xml:space="preserve">įvertinti gyventojų gaunamų bendrųjų pajamų skirtumus nebus </w:t>
            </w:r>
            <w:r w:rsidR="00FE33D9" w:rsidRPr="00EC247F">
              <w:rPr>
                <w:lang w:val="lt-LT"/>
              </w:rPr>
              <w:t>įmanoma.</w:t>
            </w:r>
          </w:p>
        </w:tc>
      </w:tr>
      <w:tr w:rsidR="00776149" w:rsidRPr="00EC247F" w14:paraId="333DD8D1" w14:textId="77777777" w:rsidTr="001D6AC0">
        <w:trPr>
          <w:jc w:val="center"/>
        </w:trPr>
        <w:tc>
          <w:tcPr>
            <w:tcW w:w="570" w:type="dxa"/>
          </w:tcPr>
          <w:p w14:paraId="714AFD4D" w14:textId="2385E81E" w:rsidR="00776149" w:rsidRPr="00EC247F" w:rsidRDefault="00702435" w:rsidP="001D6AC0">
            <w:pPr>
              <w:rPr>
                <w:lang w:val="lt-LT"/>
              </w:rPr>
            </w:pPr>
            <w:r>
              <w:rPr>
                <w:lang w:val="lt-LT"/>
              </w:rPr>
              <w:t>4</w:t>
            </w:r>
            <w:r w:rsidR="00776149" w:rsidRPr="00EC247F">
              <w:rPr>
                <w:lang w:val="lt-LT"/>
              </w:rPr>
              <w:t>.</w:t>
            </w:r>
          </w:p>
        </w:tc>
        <w:tc>
          <w:tcPr>
            <w:tcW w:w="3115" w:type="dxa"/>
          </w:tcPr>
          <w:p w14:paraId="64E4787E" w14:textId="1434179E" w:rsidR="00776149" w:rsidRPr="00EC247F" w:rsidRDefault="00647574" w:rsidP="00647574">
            <w:pPr>
              <w:rPr>
                <w:lang w:val="lt-LT"/>
              </w:rPr>
            </w:pPr>
            <w:r>
              <w:rPr>
                <w:lang w:val="lt-LT"/>
              </w:rPr>
              <w:t>M</w:t>
            </w:r>
            <w:r w:rsidRPr="00EC247F">
              <w:rPr>
                <w:lang w:val="lt-LT"/>
              </w:rPr>
              <w:t xml:space="preserve">oterų </w:t>
            </w:r>
            <w:r w:rsidR="00776149" w:rsidRPr="00EC247F">
              <w:rPr>
                <w:lang w:val="lt-LT"/>
              </w:rPr>
              <w:t xml:space="preserve">ir </w:t>
            </w:r>
            <w:r>
              <w:rPr>
                <w:lang w:val="lt-LT"/>
              </w:rPr>
              <w:t>v</w:t>
            </w:r>
            <w:r w:rsidRPr="00EC247F">
              <w:rPr>
                <w:lang w:val="lt-LT"/>
              </w:rPr>
              <w:t xml:space="preserve">yrų </w:t>
            </w:r>
            <w:r w:rsidR="00776149" w:rsidRPr="00EC247F">
              <w:rPr>
                <w:lang w:val="lt-LT"/>
              </w:rPr>
              <w:t>bendrųjų pajamų skirtumas</w:t>
            </w:r>
          </w:p>
        </w:tc>
        <w:tc>
          <w:tcPr>
            <w:tcW w:w="2340" w:type="dxa"/>
          </w:tcPr>
          <w:p w14:paraId="628D7D30" w14:textId="77777777" w:rsidR="00776149" w:rsidRPr="00EC247F" w:rsidRDefault="00776149" w:rsidP="001D6AC0">
            <w:pPr>
              <w:rPr>
                <w:lang w:val="lt-LT"/>
              </w:rPr>
            </w:pPr>
            <w:r w:rsidRPr="00EC247F">
              <w:rPr>
                <w:lang w:val="lt-LT"/>
              </w:rPr>
              <w:t xml:space="preserve">Savivaldybės </w:t>
            </w:r>
          </w:p>
          <w:p w14:paraId="69089864" w14:textId="77777777" w:rsidR="00776149" w:rsidRPr="00EC247F" w:rsidRDefault="00776149" w:rsidP="001D6AC0">
            <w:pPr>
              <w:rPr>
                <w:lang w:val="lt-LT"/>
              </w:rPr>
            </w:pPr>
            <w:r w:rsidRPr="00EC247F">
              <w:rPr>
                <w:lang w:val="lt-LT"/>
              </w:rPr>
              <w:t>Lytis</w:t>
            </w:r>
          </w:p>
          <w:p w14:paraId="09CB1B22" w14:textId="77777777" w:rsidR="00776149" w:rsidRPr="00EC247F" w:rsidRDefault="00776149" w:rsidP="001D6AC0">
            <w:pPr>
              <w:rPr>
                <w:lang w:val="lt-LT"/>
              </w:rPr>
            </w:pPr>
            <w:r w:rsidRPr="00EC247F">
              <w:rPr>
                <w:lang w:val="lt-LT"/>
              </w:rPr>
              <w:t>Amžius</w:t>
            </w:r>
          </w:p>
          <w:p w14:paraId="196CB5A9" w14:textId="4FDCA2EB" w:rsidR="00776149" w:rsidRPr="00EC247F" w:rsidRDefault="00776149" w:rsidP="001D6AC0">
            <w:pPr>
              <w:rPr>
                <w:lang w:val="lt-LT"/>
              </w:rPr>
            </w:pPr>
            <w:r w:rsidRPr="00EC247F">
              <w:rPr>
                <w:lang w:val="lt-LT"/>
              </w:rPr>
              <w:t>Sektorius</w:t>
            </w:r>
          </w:p>
        </w:tc>
        <w:tc>
          <w:tcPr>
            <w:tcW w:w="1440" w:type="dxa"/>
            <w:vMerge/>
          </w:tcPr>
          <w:p w14:paraId="60A3DEC2" w14:textId="6455D628" w:rsidR="00776149" w:rsidRPr="00EC247F" w:rsidRDefault="00776149" w:rsidP="001D6AC0">
            <w:pPr>
              <w:rPr>
                <w:lang w:val="lt-LT"/>
              </w:rPr>
            </w:pPr>
          </w:p>
        </w:tc>
        <w:tc>
          <w:tcPr>
            <w:tcW w:w="8280" w:type="dxa"/>
            <w:vMerge/>
          </w:tcPr>
          <w:p w14:paraId="09A5A87F" w14:textId="169B714A" w:rsidR="00776149" w:rsidRPr="00EC247F" w:rsidRDefault="00776149" w:rsidP="001D6AC0">
            <w:pPr>
              <w:rPr>
                <w:lang w:val="lt-LT"/>
              </w:rPr>
            </w:pPr>
          </w:p>
        </w:tc>
      </w:tr>
      <w:tr w:rsidR="007B1D85" w:rsidRPr="00EC247F" w14:paraId="0243421E" w14:textId="77777777" w:rsidTr="001D6AC0">
        <w:trPr>
          <w:jc w:val="center"/>
        </w:trPr>
        <w:tc>
          <w:tcPr>
            <w:tcW w:w="570" w:type="dxa"/>
          </w:tcPr>
          <w:p w14:paraId="0104AA03" w14:textId="63268037" w:rsidR="007B1D85" w:rsidRPr="00EC247F" w:rsidRDefault="00702435" w:rsidP="001D6AC0">
            <w:pPr>
              <w:rPr>
                <w:lang w:val="lt-LT"/>
              </w:rPr>
            </w:pPr>
            <w:r>
              <w:rPr>
                <w:lang w:val="lt-LT"/>
              </w:rPr>
              <w:t>5.</w:t>
            </w:r>
          </w:p>
        </w:tc>
        <w:tc>
          <w:tcPr>
            <w:tcW w:w="3115" w:type="dxa"/>
          </w:tcPr>
          <w:p w14:paraId="30ADC9B6" w14:textId="77777777" w:rsidR="007B1D85" w:rsidRPr="00EC247F" w:rsidRDefault="007B1D85" w:rsidP="001D6AC0">
            <w:pPr>
              <w:rPr>
                <w:lang w:val="lt-LT"/>
              </w:rPr>
            </w:pPr>
            <w:r w:rsidRPr="00EC247F">
              <w:rPr>
                <w:lang w:val="lt-LT"/>
              </w:rPr>
              <w:t>Asmenys, gyvenantys žemiau skurdo ribos</w:t>
            </w:r>
          </w:p>
          <w:p w14:paraId="2AFAF4EE" w14:textId="77777777" w:rsidR="007B1D85" w:rsidRPr="00EC247F" w:rsidRDefault="007B1D85" w:rsidP="001D6AC0">
            <w:pPr>
              <w:rPr>
                <w:lang w:val="lt-LT"/>
              </w:rPr>
            </w:pPr>
          </w:p>
        </w:tc>
        <w:tc>
          <w:tcPr>
            <w:tcW w:w="2340" w:type="dxa"/>
          </w:tcPr>
          <w:p w14:paraId="5E62FAB8" w14:textId="77777777" w:rsidR="007B1D85" w:rsidRPr="00EC247F" w:rsidRDefault="007B1D85" w:rsidP="001D6AC0">
            <w:pPr>
              <w:rPr>
                <w:lang w:val="lt-LT"/>
              </w:rPr>
            </w:pPr>
            <w:r w:rsidRPr="00EC247F">
              <w:rPr>
                <w:lang w:val="lt-LT"/>
              </w:rPr>
              <w:t xml:space="preserve">Savivaldybės </w:t>
            </w:r>
          </w:p>
          <w:p w14:paraId="16394D85" w14:textId="77777777" w:rsidR="007B1D85" w:rsidRPr="00EC247F" w:rsidRDefault="007B1D85" w:rsidP="001D6AC0">
            <w:pPr>
              <w:rPr>
                <w:lang w:val="lt-LT"/>
              </w:rPr>
            </w:pPr>
            <w:r w:rsidRPr="00EC247F">
              <w:rPr>
                <w:lang w:val="lt-LT"/>
              </w:rPr>
              <w:t>Lytis</w:t>
            </w:r>
          </w:p>
          <w:p w14:paraId="78931F02" w14:textId="2F5FB7A4" w:rsidR="007B1D85" w:rsidRPr="00EC247F" w:rsidRDefault="007B1D85" w:rsidP="001D6AC0">
            <w:pPr>
              <w:rPr>
                <w:lang w:val="lt-LT"/>
              </w:rPr>
            </w:pPr>
            <w:r w:rsidRPr="00EC247F">
              <w:rPr>
                <w:lang w:val="lt-LT"/>
              </w:rPr>
              <w:t>Amžius</w:t>
            </w:r>
          </w:p>
        </w:tc>
        <w:tc>
          <w:tcPr>
            <w:tcW w:w="1440" w:type="dxa"/>
          </w:tcPr>
          <w:p w14:paraId="3F197F2F" w14:textId="77777777" w:rsidR="007B1D85" w:rsidRPr="00EC247F" w:rsidRDefault="007B1D85" w:rsidP="001D6AC0">
            <w:pPr>
              <w:rPr>
                <w:lang w:val="lt-LT"/>
              </w:rPr>
            </w:pPr>
          </w:p>
        </w:tc>
        <w:tc>
          <w:tcPr>
            <w:tcW w:w="8280" w:type="dxa"/>
            <w:vMerge w:val="restart"/>
          </w:tcPr>
          <w:p w14:paraId="4B2C6D1D" w14:textId="79F57B77" w:rsidR="00102288" w:rsidRPr="00EC247F" w:rsidRDefault="00875C75" w:rsidP="00102288">
            <w:pPr>
              <w:rPr>
                <w:lang w:val="lt-LT"/>
              </w:rPr>
            </w:pPr>
            <w:r w:rsidRPr="001B5959">
              <w:rPr>
                <w:lang w:val="lt-LT"/>
              </w:rPr>
              <w:t>Nuo 2005 m. skurdo rizikos rodikliams skaičiuoti naudojami pajamų ir gyvenimo sąlygų statistinio tyrimo duomenys</w:t>
            </w:r>
            <w:r w:rsidR="00102288" w:rsidRPr="001B5959">
              <w:rPr>
                <w:lang w:val="lt-LT"/>
              </w:rPr>
              <w:t xml:space="preserve"> </w:t>
            </w:r>
            <w:proofErr w:type="spellStart"/>
            <w:r w:rsidR="00102288" w:rsidRPr="00647574">
              <w:rPr>
                <w:i/>
                <w:lang w:val="lt-LT"/>
              </w:rPr>
              <w:t>European</w:t>
            </w:r>
            <w:proofErr w:type="spellEnd"/>
            <w:r w:rsidR="00102288" w:rsidRPr="00647574">
              <w:rPr>
                <w:i/>
                <w:lang w:val="lt-LT"/>
              </w:rPr>
              <w:t xml:space="preserve"> </w:t>
            </w:r>
            <w:proofErr w:type="spellStart"/>
            <w:r w:rsidR="00102288" w:rsidRPr="00647574">
              <w:rPr>
                <w:i/>
                <w:lang w:val="lt-LT"/>
              </w:rPr>
              <w:t>Union</w:t>
            </w:r>
            <w:proofErr w:type="spellEnd"/>
            <w:r w:rsidR="00102288" w:rsidRPr="00647574">
              <w:rPr>
                <w:i/>
                <w:lang w:val="lt-LT"/>
              </w:rPr>
              <w:t xml:space="preserve"> </w:t>
            </w:r>
            <w:proofErr w:type="spellStart"/>
            <w:r w:rsidR="00102288" w:rsidRPr="00647574">
              <w:rPr>
                <w:i/>
                <w:lang w:val="lt-LT"/>
              </w:rPr>
              <w:t>Statistics</w:t>
            </w:r>
            <w:proofErr w:type="spellEnd"/>
            <w:r w:rsidR="00102288" w:rsidRPr="00647574">
              <w:rPr>
                <w:i/>
                <w:lang w:val="lt-LT"/>
              </w:rPr>
              <w:t xml:space="preserve"> </w:t>
            </w:r>
            <w:proofErr w:type="spellStart"/>
            <w:r w:rsidR="00102288" w:rsidRPr="00647574">
              <w:rPr>
                <w:i/>
                <w:lang w:val="lt-LT"/>
              </w:rPr>
              <w:t>on</w:t>
            </w:r>
            <w:proofErr w:type="spellEnd"/>
            <w:r w:rsidR="00102288" w:rsidRPr="00647574">
              <w:rPr>
                <w:i/>
                <w:lang w:val="lt-LT"/>
              </w:rPr>
              <w:t xml:space="preserve"> </w:t>
            </w:r>
            <w:proofErr w:type="spellStart"/>
            <w:r w:rsidR="00102288" w:rsidRPr="00647574">
              <w:rPr>
                <w:i/>
                <w:lang w:val="lt-LT"/>
              </w:rPr>
              <w:t>Income</w:t>
            </w:r>
            <w:proofErr w:type="spellEnd"/>
            <w:r w:rsidR="00102288" w:rsidRPr="00647574">
              <w:rPr>
                <w:i/>
                <w:lang w:val="lt-LT"/>
              </w:rPr>
              <w:t xml:space="preserve"> </w:t>
            </w:r>
            <w:proofErr w:type="spellStart"/>
            <w:r w:rsidR="00102288" w:rsidRPr="00647574">
              <w:rPr>
                <w:i/>
                <w:lang w:val="lt-LT"/>
              </w:rPr>
              <w:t>and</w:t>
            </w:r>
            <w:proofErr w:type="spellEnd"/>
            <w:r w:rsidR="00102288" w:rsidRPr="00647574">
              <w:rPr>
                <w:i/>
                <w:lang w:val="lt-LT"/>
              </w:rPr>
              <w:t xml:space="preserve"> </w:t>
            </w:r>
            <w:proofErr w:type="spellStart"/>
            <w:r w:rsidR="00102288" w:rsidRPr="00647574">
              <w:rPr>
                <w:i/>
                <w:lang w:val="lt-LT"/>
              </w:rPr>
              <w:t>Living</w:t>
            </w:r>
            <w:proofErr w:type="spellEnd"/>
            <w:r w:rsidR="00102288" w:rsidRPr="00647574">
              <w:rPr>
                <w:i/>
                <w:lang w:val="lt-LT"/>
              </w:rPr>
              <w:t xml:space="preserve"> </w:t>
            </w:r>
            <w:proofErr w:type="spellStart"/>
            <w:r w:rsidR="00102288" w:rsidRPr="00647574">
              <w:rPr>
                <w:i/>
                <w:lang w:val="lt-LT"/>
              </w:rPr>
              <w:t>Conditions</w:t>
            </w:r>
            <w:proofErr w:type="spellEnd"/>
            <w:r w:rsidR="00102288" w:rsidRPr="00647574">
              <w:rPr>
                <w:lang w:val="lt-LT"/>
              </w:rPr>
              <w:t xml:space="preserve"> (EU</w:t>
            </w:r>
            <w:r w:rsidR="00102288" w:rsidRPr="00EC247F">
              <w:rPr>
                <w:lang w:val="lt-LT"/>
              </w:rPr>
              <w:t xml:space="preserve">-SILC). Tyrimo duomenys tinkami tik analizei visos šalies </w:t>
            </w:r>
            <w:r w:rsidR="00102288" w:rsidRPr="00EC247F">
              <w:rPr>
                <w:lang w:val="lt-LT"/>
              </w:rPr>
              <w:lastRenderedPageBreak/>
              <w:t xml:space="preserve">mastu, dėl </w:t>
            </w:r>
            <w:r w:rsidR="00304296" w:rsidRPr="00EC247F">
              <w:rPr>
                <w:lang w:val="lt-LT"/>
              </w:rPr>
              <w:t>nepakankamo</w:t>
            </w:r>
            <w:r w:rsidR="00CF5E11">
              <w:rPr>
                <w:lang w:val="lt-LT"/>
              </w:rPr>
              <w:t xml:space="preserve"> respondentų skaičiaus</w:t>
            </w:r>
            <w:r w:rsidR="00102288" w:rsidRPr="00EC247F">
              <w:rPr>
                <w:lang w:val="lt-LT"/>
              </w:rPr>
              <w:t xml:space="preserve"> pjūviai pagal savivaldybes nebūtų reprezentatyvūs. </w:t>
            </w:r>
            <w:r w:rsidR="00304296" w:rsidRPr="00EC247F">
              <w:rPr>
                <w:lang w:val="lt-LT"/>
              </w:rPr>
              <w:t>Kadangi skurdo rizikos lygis apskaičiuojamas namų ūkių pagrindu (žr. žemiau), g</w:t>
            </w:r>
            <w:r w:rsidR="00102288" w:rsidRPr="00EC247F">
              <w:rPr>
                <w:lang w:val="lt-LT"/>
              </w:rPr>
              <w:t xml:space="preserve">alimybių apskaičiuoti rodiklius administracinių duomenų pagrindu nėra, nes </w:t>
            </w:r>
            <w:r w:rsidR="00437250" w:rsidRPr="00EC247F">
              <w:rPr>
                <w:lang w:val="lt-LT"/>
              </w:rPr>
              <w:t>tiesiog nėra duomenų apie</w:t>
            </w:r>
            <w:r w:rsidR="00102288" w:rsidRPr="00EC247F">
              <w:rPr>
                <w:lang w:val="lt-LT"/>
              </w:rPr>
              <w:t xml:space="preserve"> visų namų</w:t>
            </w:r>
            <w:r w:rsidR="00304296" w:rsidRPr="00EC247F">
              <w:rPr>
                <w:lang w:val="lt-LT"/>
              </w:rPr>
              <w:t xml:space="preserve"> ūkių</w:t>
            </w:r>
            <w:r w:rsidR="00304296" w:rsidRPr="00EC247F">
              <w:rPr>
                <w:i/>
                <w:lang w:val="lt-LT"/>
              </w:rPr>
              <w:t xml:space="preserve"> </w:t>
            </w:r>
            <w:r w:rsidR="00304296" w:rsidRPr="00EC247F">
              <w:rPr>
                <w:lang w:val="lt-LT"/>
              </w:rPr>
              <w:t xml:space="preserve">disponuojamąsias pajamas. </w:t>
            </w:r>
          </w:p>
          <w:p w14:paraId="21270A4F" w14:textId="77777777" w:rsidR="00102288" w:rsidRPr="00EC247F" w:rsidRDefault="00102288" w:rsidP="00102288">
            <w:pPr>
              <w:rPr>
                <w:lang w:val="lt-LT"/>
              </w:rPr>
            </w:pPr>
          </w:p>
          <w:p w14:paraId="71C34E7E" w14:textId="77777777" w:rsidR="00102288" w:rsidRPr="00EC247F" w:rsidRDefault="00102288" w:rsidP="00102288">
            <w:pPr>
              <w:rPr>
                <w:i/>
                <w:lang w:val="lt-LT"/>
              </w:rPr>
            </w:pPr>
            <w:r w:rsidRPr="00EC247F">
              <w:rPr>
                <w:b/>
                <w:i/>
                <w:lang w:val="lt-LT"/>
              </w:rPr>
              <w:t>Skurdo rizikos lygis</w:t>
            </w:r>
            <w:r w:rsidRPr="00EC247F">
              <w:rPr>
                <w:i/>
                <w:lang w:val="lt-LT"/>
              </w:rPr>
              <w:t xml:space="preserve"> – asmenų, kurių ekvivalentinės piniginės disponuojamosios pajamos mažesnės už skurdo rizikos ribą, dalis. </w:t>
            </w:r>
          </w:p>
          <w:p w14:paraId="712CC7B2" w14:textId="77777777" w:rsidR="007B1D85" w:rsidRPr="00EC247F" w:rsidRDefault="00102288" w:rsidP="00102288">
            <w:pPr>
              <w:rPr>
                <w:i/>
                <w:lang w:val="lt-LT"/>
              </w:rPr>
            </w:pPr>
            <w:r w:rsidRPr="00EC247F">
              <w:rPr>
                <w:b/>
                <w:i/>
                <w:lang w:val="lt-LT"/>
              </w:rPr>
              <w:t>Skurdo rizikos riba</w:t>
            </w:r>
            <w:r w:rsidRPr="00EC247F">
              <w:rPr>
                <w:i/>
                <w:lang w:val="lt-LT"/>
              </w:rPr>
              <w:t xml:space="preserve"> – sąlyginis pajamų dydis, už kurį mažesnes disponuojamąsias pajamas gaunantys namų ūkiai priskiriami prie skurstančiųjų. Pagrindiniu skurdo kriterijumi laikoma skurdo rizikos riba, lygi 60 proc. ekvivalentinių piniginių disponuojamųjų pajamų medianos.</w:t>
            </w:r>
          </w:p>
          <w:p w14:paraId="5030FC13" w14:textId="3EFD9067" w:rsidR="00102288" w:rsidRPr="00EC247F" w:rsidRDefault="00102288" w:rsidP="00102288">
            <w:pPr>
              <w:rPr>
                <w:lang w:val="lt-LT"/>
              </w:rPr>
            </w:pPr>
            <w:r w:rsidRPr="00EC247F">
              <w:rPr>
                <w:b/>
                <w:i/>
                <w:lang w:val="lt-LT"/>
              </w:rPr>
              <w:t>Ekvivalentinės disponuojamosios pajamos</w:t>
            </w:r>
            <w:r w:rsidRPr="00EC247F">
              <w:rPr>
                <w:i/>
                <w:lang w:val="lt-LT"/>
              </w:rPr>
              <w:t xml:space="preserve"> apskaičiuojamos namų ūkio disponuojamąsias pajamas padalijus iš namų ūkio ekvivalentinio dydžio. Visiems to paties namų ūkio nariams priskiriamos vienodos ekvivalentinės disponuojamosios pajamos</w:t>
            </w:r>
            <w:r w:rsidRPr="00EC247F">
              <w:rPr>
                <w:rStyle w:val="FootnoteReference"/>
                <w:i/>
                <w:lang w:val="lt-LT"/>
              </w:rPr>
              <w:footnoteReference w:id="84"/>
            </w:r>
            <w:r w:rsidRPr="00EC247F">
              <w:rPr>
                <w:i/>
                <w:lang w:val="lt-LT"/>
              </w:rPr>
              <w:t>.</w:t>
            </w:r>
          </w:p>
        </w:tc>
      </w:tr>
      <w:tr w:rsidR="007B1D85" w:rsidRPr="00EC247F" w14:paraId="7B653E05" w14:textId="77777777" w:rsidTr="001D6AC0">
        <w:trPr>
          <w:jc w:val="center"/>
        </w:trPr>
        <w:tc>
          <w:tcPr>
            <w:tcW w:w="570" w:type="dxa"/>
          </w:tcPr>
          <w:p w14:paraId="1F3E7E01" w14:textId="5711BC75" w:rsidR="007B1D85" w:rsidRPr="00EC247F" w:rsidRDefault="00702435" w:rsidP="001D6AC0">
            <w:pPr>
              <w:rPr>
                <w:lang w:val="lt-LT"/>
              </w:rPr>
            </w:pPr>
            <w:r>
              <w:rPr>
                <w:lang w:val="lt-LT"/>
              </w:rPr>
              <w:lastRenderedPageBreak/>
              <w:t>6.</w:t>
            </w:r>
          </w:p>
        </w:tc>
        <w:tc>
          <w:tcPr>
            <w:tcW w:w="3115" w:type="dxa"/>
          </w:tcPr>
          <w:p w14:paraId="162015AC" w14:textId="77777777" w:rsidR="007B1D85" w:rsidRPr="00EC247F" w:rsidRDefault="007B1D85" w:rsidP="001D6AC0">
            <w:pPr>
              <w:rPr>
                <w:lang w:val="lt-LT"/>
              </w:rPr>
            </w:pPr>
            <w:r w:rsidRPr="00EC247F">
              <w:rPr>
                <w:lang w:val="lt-LT"/>
              </w:rPr>
              <w:t>Skurdo rizikos lygis ir socialinė atskirtis sulaukus senyvo amžiaus (65 ir vyresni)</w:t>
            </w:r>
          </w:p>
          <w:p w14:paraId="3B74A0D0" w14:textId="77777777" w:rsidR="007B1D85" w:rsidRPr="00EC247F" w:rsidRDefault="007B1D85" w:rsidP="001D6AC0">
            <w:pPr>
              <w:rPr>
                <w:lang w:val="lt-LT"/>
              </w:rPr>
            </w:pPr>
          </w:p>
        </w:tc>
        <w:tc>
          <w:tcPr>
            <w:tcW w:w="2340" w:type="dxa"/>
          </w:tcPr>
          <w:p w14:paraId="0614DDA2" w14:textId="77777777" w:rsidR="007B1D85" w:rsidRPr="00EC247F" w:rsidRDefault="007B1D85" w:rsidP="001D6AC0">
            <w:pPr>
              <w:rPr>
                <w:lang w:val="lt-LT"/>
              </w:rPr>
            </w:pPr>
            <w:r w:rsidRPr="00EC247F">
              <w:rPr>
                <w:lang w:val="lt-LT"/>
              </w:rPr>
              <w:t xml:space="preserve">Savivaldybės </w:t>
            </w:r>
          </w:p>
          <w:p w14:paraId="6987352A" w14:textId="77777777" w:rsidR="007B1D85" w:rsidRPr="00EC247F" w:rsidRDefault="007B1D85" w:rsidP="001D6AC0">
            <w:pPr>
              <w:rPr>
                <w:lang w:val="lt-LT"/>
              </w:rPr>
            </w:pPr>
            <w:r w:rsidRPr="00EC247F">
              <w:rPr>
                <w:lang w:val="lt-LT"/>
              </w:rPr>
              <w:t>Lytis</w:t>
            </w:r>
          </w:p>
          <w:p w14:paraId="044A2B1A" w14:textId="77777777" w:rsidR="007B1D85" w:rsidRPr="00EC247F" w:rsidRDefault="007B1D85" w:rsidP="001D6AC0">
            <w:pPr>
              <w:rPr>
                <w:lang w:val="lt-LT"/>
              </w:rPr>
            </w:pPr>
          </w:p>
        </w:tc>
        <w:tc>
          <w:tcPr>
            <w:tcW w:w="1440" w:type="dxa"/>
          </w:tcPr>
          <w:p w14:paraId="2C642843" w14:textId="77777777" w:rsidR="007B1D85" w:rsidRPr="00EC247F" w:rsidRDefault="007B1D85" w:rsidP="001D6AC0">
            <w:pPr>
              <w:rPr>
                <w:lang w:val="lt-LT"/>
              </w:rPr>
            </w:pPr>
          </w:p>
        </w:tc>
        <w:tc>
          <w:tcPr>
            <w:tcW w:w="8280" w:type="dxa"/>
            <w:vMerge/>
          </w:tcPr>
          <w:p w14:paraId="19696570" w14:textId="77777777" w:rsidR="007B1D85" w:rsidRPr="00EC247F" w:rsidRDefault="007B1D85" w:rsidP="001D6AC0">
            <w:pPr>
              <w:rPr>
                <w:lang w:val="lt-LT"/>
              </w:rPr>
            </w:pPr>
          </w:p>
        </w:tc>
      </w:tr>
      <w:tr w:rsidR="007B1D85" w:rsidRPr="00EC247F" w14:paraId="4B318610" w14:textId="77777777" w:rsidTr="001D6AC0">
        <w:trPr>
          <w:jc w:val="center"/>
        </w:trPr>
        <w:tc>
          <w:tcPr>
            <w:tcW w:w="570" w:type="dxa"/>
          </w:tcPr>
          <w:p w14:paraId="13629BC0" w14:textId="5E77C5B8" w:rsidR="007B1D85" w:rsidRPr="00EC247F" w:rsidRDefault="00702435" w:rsidP="001D6AC0">
            <w:pPr>
              <w:rPr>
                <w:lang w:val="lt-LT"/>
              </w:rPr>
            </w:pPr>
            <w:r>
              <w:rPr>
                <w:lang w:val="lt-LT"/>
              </w:rPr>
              <w:t>7.</w:t>
            </w:r>
          </w:p>
        </w:tc>
        <w:tc>
          <w:tcPr>
            <w:tcW w:w="3115" w:type="dxa"/>
          </w:tcPr>
          <w:p w14:paraId="48FDCDB2" w14:textId="67EC370E" w:rsidR="007B1D85" w:rsidRPr="00EC247F" w:rsidRDefault="007B1D85" w:rsidP="001D6AC0">
            <w:pPr>
              <w:rPr>
                <w:lang w:val="lt-LT"/>
              </w:rPr>
            </w:pPr>
            <w:r w:rsidRPr="00EC247F">
              <w:rPr>
                <w:lang w:val="lt-LT"/>
              </w:rPr>
              <w:t>Skurdą arba socialinę atskirtį patirti rizikuojantys namų ūkiai, kuriuos sudaro tik vienas iš tėvų ir jo vaikai</w:t>
            </w:r>
          </w:p>
        </w:tc>
        <w:tc>
          <w:tcPr>
            <w:tcW w:w="2340" w:type="dxa"/>
          </w:tcPr>
          <w:p w14:paraId="030F77A2" w14:textId="77777777" w:rsidR="007B1D85" w:rsidRPr="00EC247F" w:rsidRDefault="007B1D85" w:rsidP="001D6AC0">
            <w:pPr>
              <w:rPr>
                <w:lang w:val="lt-LT"/>
              </w:rPr>
            </w:pPr>
            <w:r w:rsidRPr="00EC247F">
              <w:rPr>
                <w:lang w:val="lt-LT"/>
              </w:rPr>
              <w:t>Savivaldybės</w:t>
            </w:r>
          </w:p>
          <w:p w14:paraId="4BC9014D" w14:textId="77777777" w:rsidR="007B1D85" w:rsidRPr="00EC247F" w:rsidRDefault="007B1D85" w:rsidP="001D6AC0">
            <w:pPr>
              <w:rPr>
                <w:lang w:val="lt-LT"/>
              </w:rPr>
            </w:pPr>
          </w:p>
        </w:tc>
        <w:tc>
          <w:tcPr>
            <w:tcW w:w="1440" w:type="dxa"/>
          </w:tcPr>
          <w:p w14:paraId="7943C66E" w14:textId="77777777" w:rsidR="007B1D85" w:rsidRPr="00EC247F" w:rsidRDefault="007B1D85" w:rsidP="001D6AC0">
            <w:pPr>
              <w:rPr>
                <w:lang w:val="lt-LT"/>
              </w:rPr>
            </w:pPr>
          </w:p>
        </w:tc>
        <w:tc>
          <w:tcPr>
            <w:tcW w:w="8280" w:type="dxa"/>
            <w:vMerge/>
          </w:tcPr>
          <w:p w14:paraId="38205389" w14:textId="77777777" w:rsidR="007B1D85" w:rsidRPr="00EC247F" w:rsidRDefault="007B1D85" w:rsidP="001D6AC0">
            <w:pPr>
              <w:rPr>
                <w:lang w:val="lt-LT"/>
              </w:rPr>
            </w:pPr>
          </w:p>
        </w:tc>
      </w:tr>
      <w:tr w:rsidR="001D6AC0" w:rsidRPr="00EC247F" w14:paraId="3C5CD944" w14:textId="77777777" w:rsidTr="00524C2A">
        <w:trPr>
          <w:jc w:val="center"/>
        </w:trPr>
        <w:tc>
          <w:tcPr>
            <w:tcW w:w="15745" w:type="dxa"/>
            <w:gridSpan w:val="5"/>
          </w:tcPr>
          <w:p w14:paraId="6CD4D784" w14:textId="2521D63A" w:rsidR="001D6AC0" w:rsidRPr="00EC247F" w:rsidRDefault="001D6AC0" w:rsidP="001D6AC0">
            <w:pPr>
              <w:jc w:val="center"/>
              <w:rPr>
                <w:lang w:val="lt-LT"/>
              </w:rPr>
            </w:pPr>
            <w:r w:rsidRPr="00EC247F">
              <w:rPr>
                <w:b/>
                <w:lang w:val="lt-LT"/>
              </w:rPr>
              <w:t>Valdžia ir sprendimų priėmimas</w:t>
            </w:r>
          </w:p>
        </w:tc>
      </w:tr>
      <w:tr w:rsidR="001D6AC0" w:rsidRPr="00485D1C" w14:paraId="76558B68" w14:textId="77777777" w:rsidTr="001D6AC0">
        <w:trPr>
          <w:jc w:val="center"/>
        </w:trPr>
        <w:tc>
          <w:tcPr>
            <w:tcW w:w="570" w:type="dxa"/>
          </w:tcPr>
          <w:p w14:paraId="3EF0E5AC" w14:textId="33E90F4B" w:rsidR="001D6AC0" w:rsidRPr="00EC247F" w:rsidRDefault="00702435" w:rsidP="001D6AC0">
            <w:pPr>
              <w:rPr>
                <w:lang w:val="lt-LT"/>
              </w:rPr>
            </w:pPr>
            <w:r>
              <w:rPr>
                <w:lang w:val="lt-LT"/>
              </w:rPr>
              <w:t>8.</w:t>
            </w:r>
          </w:p>
        </w:tc>
        <w:tc>
          <w:tcPr>
            <w:tcW w:w="3115" w:type="dxa"/>
          </w:tcPr>
          <w:p w14:paraId="3AA7BDFE" w14:textId="68739923" w:rsidR="001D6AC0" w:rsidRPr="00EC247F" w:rsidRDefault="001D6AC0" w:rsidP="001D6AC0">
            <w:pPr>
              <w:rPr>
                <w:lang w:val="lt-LT"/>
              </w:rPr>
            </w:pPr>
            <w:r w:rsidRPr="00EC247F">
              <w:rPr>
                <w:lang w:val="lt-LT"/>
              </w:rPr>
              <w:t>Savivaldybėms pavaldžių įstaigų vadovai</w:t>
            </w:r>
          </w:p>
        </w:tc>
        <w:tc>
          <w:tcPr>
            <w:tcW w:w="2340" w:type="dxa"/>
          </w:tcPr>
          <w:p w14:paraId="5921DD7C" w14:textId="77777777" w:rsidR="001D6AC0" w:rsidRPr="00EC247F" w:rsidRDefault="001D6AC0" w:rsidP="001D6AC0">
            <w:pPr>
              <w:rPr>
                <w:lang w:val="lt-LT"/>
              </w:rPr>
            </w:pPr>
            <w:r w:rsidRPr="00EC247F">
              <w:rPr>
                <w:lang w:val="lt-LT"/>
              </w:rPr>
              <w:t xml:space="preserve">Savivaldybės </w:t>
            </w:r>
          </w:p>
          <w:p w14:paraId="50309031" w14:textId="033AD03E" w:rsidR="001D6AC0" w:rsidRPr="00EC247F" w:rsidRDefault="001D6AC0" w:rsidP="001D6AC0">
            <w:pPr>
              <w:rPr>
                <w:lang w:val="lt-LT"/>
              </w:rPr>
            </w:pPr>
            <w:r w:rsidRPr="00EC247F">
              <w:rPr>
                <w:lang w:val="lt-LT"/>
              </w:rPr>
              <w:t>Lytis</w:t>
            </w:r>
          </w:p>
        </w:tc>
        <w:tc>
          <w:tcPr>
            <w:tcW w:w="1440" w:type="dxa"/>
          </w:tcPr>
          <w:p w14:paraId="7218763F" w14:textId="77777777" w:rsidR="001D6AC0" w:rsidRPr="00EC247F" w:rsidRDefault="001D6AC0" w:rsidP="001D6AC0">
            <w:pPr>
              <w:rPr>
                <w:lang w:val="lt-LT"/>
              </w:rPr>
            </w:pPr>
          </w:p>
        </w:tc>
        <w:tc>
          <w:tcPr>
            <w:tcW w:w="8280" w:type="dxa"/>
          </w:tcPr>
          <w:p w14:paraId="2F7D55E9" w14:textId="4407777E" w:rsidR="0009144B" w:rsidRPr="00CE7579" w:rsidRDefault="00C1703B" w:rsidP="00B335C9">
            <w:pPr>
              <w:rPr>
                <w:lang w:val="lt-LT"/>
              </w:rPr>
            </w:pPr>
            <w:r w:rsidRPr="00CE7579">
              <w:rPr>
                <w:lang w:val="lt-LT"/>
              </w:rPr>
              <w:t>Bendruomenės gerovei poveikį darantys sprendimai priimami ne tik formaliu (politiniu), bet ir praktiniu lygiu</w:t>
            </w:r>
            <w:r w:rsidR="003656EE" w:rsidRPr="00CE7579">
              <w:rPr>
                <w:lang w:val="lt-LT"/>
              </w:rPr>
              <w:t>. Pastarasis svarbus tuo, kad nutarimų raidei suteikia apčiuopiamą „kūną“. Būtent šiame etape įvyksta tai, ką žmonės patiria kaip lyčių lygybės politikos veikimą praktikoje, kurios turinys gali kisti priklausomai nuo savivaldybėms pavaldžių įstaigų vadovų požiūrio į problemas ir keliamų prioritetų. Įstaigų vadovų sudėtis lyčių požiūriu parodytų faktines moterų ir vyrų galimybes daryti poveikį politikai praktinio jos įgyvendinimo lygmenyje.</w:t>
            </w:r>
            <w:r w:rsidR="00B335C9" w:rsidRPr="00CE7579">
              <w:rPr>
                <w:lang w:val="lt-LT"/>
              </w:rPr>
              <w:t xml:space="preserve"> Šiuo metu nėra prieinama, susisteminta informacija apie savivaldybėms pavaldžių įstaigų vadovų pasiskirstymą lyties aspektu. Reikėtų siekti, kad savivaldybės viešai skelbtų savo pavaldume esančių įstaigų darbuotojų pasiskirstymo pagal lytį statistiką (išskiriant: bendroves ir įmones, viešąsias įstaigas; biudžetines įstaigas). </w:t>
            </w:r>
          </w:p>
        </w:tc>
      </w:tr>
      <w:tr w:rsidR="001D6AC0" w:rsidRPr="00EC247F" w14:paraId="077841CB" w14:textId="77777777" w:rsidTr="001D6AC0">
        <w:trPr>
          <w:jc w:val="center"/>
        </w:trPr>
        <w:tc>
          <w:tcPr>
            <w:tcW w:w="570" w:type="dxa"/>
          </w:tcPr>
          <w:p w14:paraId="444FC28E" w14:textId="0EFC75DC" w:rsidR="001D6AC0" w:rsidRPr="00EC247F" w:rsidRDefault="00702435" w:rsidP="001D6AC0">
            <w:pPr>
              <w:rPr>
                <w:lang w:val="lt-LT"/>
              </w:rPr>
            </w:pPr>
            <w:r>
              <w:rPr>
                <w:lang w:val="lt-LT"/>
              </w:rPr>
              <w:t>9.</w:t>
            </w:r>
          </w:p>
        </w:tc>
        <w:tc>
          <w:tcPr>
            <w:tcW w:w="3115" w:type="dxa"/>
          </w:tcPr>
          <w:p w14:paraId="42E78DA3" w14:textId="35C6D56B" w:rsidR="001D6AC0" w:rsidRPr="00EC247F" w:rsidRDefault="001D6AC0" w:rsidP="001D6AC0">
            <w:pPr>
              <w:rPr>
                <w:lang w:val="lt-LT"/>
              </w:rPr>
            </w:pPr>
            <w:r w:rsidRPr="00EC247F">
              <w:rPr>
                <w:lang w:val="lt-LT"/>
              </w:rPr>
              <w:t>Partijų vidinių valdymo struktūrų savivaldoje sudėtis</w:t>
            </w:r>
          </w:p>
        </w:tc>
        <w:tc>
          <w:tcPr>
            <w:tcW w:w="2340" w:type="dxa"/>
          </w:tcPr>
          <w:p w14:paraId="0253871C" w14:textId="77777777" w:rsidR="001D6AC0" w:rsidRPr="00EC247F" w:rsidRDefault="001D6AC0" w:rsidP="001D6AC0">
            <w:pPr>
              <w:rPr>
                <w:lang w:val="lt-LT"/>
              </w:rPr>
            </w:pPr>
            <w:r w:rsidRPr="00EC247F">
              <w:rPr>
                <w:lang w:val="lt-LT"/>
              </w:rPr>
              <w:t xml:space="preserve">Savivaldybės </w:t>
            </w:r>
          </w:p>
          <w:p w14:paraId="48318E11" w14:textId="5972F392" w:rsidR="001D6AC0" w:rsidRPr="00EC247F" w:rsidRDefault="001D6AC0" w:rsidP="001D6AC0">
            <w:pPr>
              <w:rPr>
                <w:lang w:val="lt-LT"/>
              </w:rPr>
            </w:pPr>
            <w:r w:rsidRPr="00EC247F">
              <w:rPr>
                <w:lang w:val="lt-LT"/>
              </w:rPr>
              <w:t>Lytis</w:t>
            </w:r>
          </w:p>
        </w:tc>
        <w:tc>
          <w:tcPr>
            <w:tcW w:w="1440" w:type="dxa"/>
          </w:tcPr>
          <w:p w14:paraId="3023F293" w14:textId="77777777" w:rsidR="001D6AC0" w:rsidRPr="00EC247F" w:rsidRDefault="001D6AC0" w:rsidP="001D6AC0">
            <w:pPr>
              <w:rPr>
                <w:lang w:val="lt-LT"/>
              </w:rPr>
            </w:pPr>
          </w:p>
        </w:tc>
        <w:tc>
          <w:tcPr>
            <w:tcW w:w="8280" w:type="dxa"/>
          </w:tcPr>
          <w:p w14:paraId="6E1DC76B" w14:textId="190AF742" w:rsidR="001D6AC0" w:rsidRPr="00CE7579" w:rsidRDefault="00606E4D" w:rsidP="00963A3D">
            <w:pPr>
              <w:rPr>
                <w:lang w:val="lt-LT"/>
              </w:rPr>
            </w:pPr>
            <w:r w:rsidRPr="00CE7579">
              <w:rPr>
                <w:lang w:val="lt-LT"/>
              </w:rPr>
              <w:t>Didesnė dalis partijų turi savo skyrius ne visose savivaldybėse.</w:t>
            </w:r>
            <w:r w:rsidR="00EC247F" w:rsidRPr="00CE7579">
              <w:rPr>
                <w:lang w:val="lt-LT"/>
              </w:rPr>
              <w:t xml:space="preserve"> </w:t>
            </w:r>
            <w:r w:rsidRPr="00CE7579">
              <w:rPr>
                <w:lang w:val="lt-LT"/>
              </w:rPr>
              <w:t xml:space="preserve">Skiriasi partijų valdymo struktūra (nėra bendros visoms partijoms valdymo struktūros, vienos gali turėti skyrių ir poskyrius, skyrių tarybas, kitos gali turėti tik skyriaus pirmininką ir pavaduotojus). </w:t>
            </w:r>
            <w:r w:rsidR="00B92F6D" w:rsidRPr="00CE7579">
              <w:rPr>
                <w:lang w:val="lt-LT"/>
              </w:rPr>
              <w:t>Taip pat tos pačios partijos v</w:t>
            </w:r>
            <w:r w:rsidRPr="00CE7579">
              <w:rPr>
                <w:lang w:val="lt-LT"/>
              </w:rPr>
              <w:t xml:space="preserve">aldymo struktūra </w:t>
            </w:r>
            <w:r w:rsidR="00B92F6D" w:rsidRPr="00CE7579">
              <w:rPr>
                <w:lang w:val="lt-LT"/>
              </w:rPr>
              <w:t xml:space="preserve">gali </w:t>
            </w:r>
            <w:r w:rsidRPr="00CE7579">
              <w:rPr>
                <w:lang w:val="lt-LT"/>
              </w:rPr>
              <w:t>skir</w:t>
            </w:r>
            <w:r w:rsidR="00B92F6D" w:rsidRPr="00CE7579">
              <w:rPr>
                <w:lang w:val="lt-LT"/>
              </w:rPr>
              <w:t>t</w:t>
            </w:r>
            <w:r w:rsidRPr="00CE7579">
              <w:rPr>
                <w:lang w:val="lt-LT"/>
              </w:rPr>
              <w:t>is atskir</w:t>
            </w:r>
            <w:r w:rsidR="00B92F6D" w:rsidRPr="00CE7579">
              <w:rPr>
                <w:lang w:val="lt-LT"/>
              </w:rPr>
              <w:t>o</w:t>
            </w:r>
            <w:r w:rsidRPr="00CE7579">
              <w:rPr>
                <w:lang w:val="lt-LT"/>
              </w:rPr>
              <w:t>s</w:t>
            </w:r>
            <w:r w:rsidR="00B92F6D" w:rsidRPr="00CE7579">
              <w:rPr>
                <w:lang w:val="lt-LT"/>
              </w:rPr>
              <w:t>e</w:t>
            </w:r>
            <w:r w:rsidRPr="00CE7579">
              <w:rPr>
                <w:lang w:val="lt-LT"/>
              </w:rPr>
              <w:t xml:space="preserve"> savivaldyb</w:t>
            </w:r>
            <w:r w:rsidR="00B92F6D" w:rsidRPr="00CE7579">
              <w:rPr>
                <w:lang w:val="lt-LT"/>
              </w:rPr>
              <w:t>ė</w:t>
            </w:r>
            <w:r w:rsidRPr="00CE7579">
              <w:rPr>
                <w:lang w:val="lt-LT"/>
              </w:rPr>
              <w:t>s</w:t>
            </w:r>
            <w:r w:rsidR="00B92F6D" w:rsidRPr="00CE7579">
              <w:rPr>
                <w:lang w:val="lt-LT"/>
              </w:rPr>
              <w:t>e</w:t>
            </w:r>
            <w:r w:rsidRPr="00CE7579">
              <w:rPr>
                <w:lang w:val="lt-LT"/>
              </w:rPr>
              <w:t>. Todėl duomenys gali būti sunkiai palyginami</w:t>
            </w:r>
            <w:r w:rsidR="00B92F6D" w:rsidRPr="00CE7579">
              <w:rPr>
                <w:lang w:val="lt-LT"/>
              </w:rPr>
              <w:t xml:space="preserve">. </w:t>
            </w:r>
            <w:r w:rsidR="00963A3D" w:rsidRPr="00CE7579">
              <w:rPr>
                <w:lang w:val="lt-LT"/>
              </w:rPr>
              <w:t>Kita vertus, p</w:t>
            </w:r>
            <w:r w:rsidRPr="00CE7579">
              <w:rPr>
                <w:lang w:val="lt-LT"/>
              </w:rPr>
              <w:t xml:space="preserve">akankamai informacijos </w:t>
            </w:r>
            <w:r w:rsidR="00963A3D" w:rsidRPr="00CE7579">
              <w:rPr>
                <w:lang w:val="lt-LT"/>
              </w:rPr>
              <w:t xml:space="preserve">apie moterų dalyvavimą politinėje veikloje savivaldybių </w:t>
            </w:r>
            <w:r w:rsidR="00963A3D" w:rsidRPr="00CE7579">
              <w:rPr>
                <w:lang w:val="lt-LT"/>
              </w:rPr>
              <w:lastRenderedPageBreak/>
              <w:t xml:space="preserve">lygiu </w:t>
            </w:r>
            <w:r w:rsidRPr="00CE7579">
              <w:rPr>
                <w:lang w:val="lt-LT"/>
              </w:rPr>
              <w:t>teikia kandidatų sąrašai ir savivaldybių tarybų narių sąrašai. Vietos kandidatų sąraš</w:t>
            </w:r>
            <w:r w:rsidR="00963A3D" w:rsidRPr="00CE7579">
              <w:rPr>
                <w:lang w:val="lt-LT"/>
              </w:rPr>
              <w:t>ai</w:t>
            </w:r>
            <w:r w:rsidRPr="00CE7579">
              <w:rPr>
                <w:lang w:val="lt-LT"/>
              </w:rPr>
              <w:t xml:space="preserve"> iš esmės geriausiai </w:t>
            </w:r>
            <w:r w:rsidR="00963A3D" w:rsidRPr="00CE7579">
              <w:rPr>
                <w:lang w:val="lt-LT"/>
              </w:rPr>
              <w:t>atskleidžia</w:t>
            </w:r>
            <w:r w:rsidRPr="00CE7579">
              <w:rPr>
                <w:lang w:val="lt-LT"/>
              </w:rPr>
              <w:t xml:space="preserve"> partijos narių įtaką partijos struktūroje savivaldybių lygmeniu. Todėl racionaliau </w:t>
            </w:r>
            <w:r w:rsidR="00963A3D" w:rsidRPr="00CE7579">
              <w:rPr>
                <w:lang w:val="lt-LT"/>
              </w:rPr>
              <w:t>vertinti</w:t>
            </w:r>
            <w:r w:rsidRPr="00CE7579">
              <w:rPr>
                <w:lang w:val="lt-LT"/>
              </w:rPr>
              <w:t xml:space="preserve"> rinkimų kandidatų sąrašus, o ne rinkti informaciją apie pačios partijos struktūras savivaldybėse.</w:t>
            </w:r>
          </w:p>
        </w:tc>
      </w:tr>
      <w:tr w:rsidR="001D6AC0" w:rsidRPr="00EC247F" w14:paraId="2B625AE5" w14:textId="77777777" w:rsidTr="00524C2A">
        <w:trPr>
          <w:jc w:val="center"/>
        </w:trPr>
        <w:tc>
          <w:tcPr>
            <w:tcW w:w="15745" w:type="dxa"/>
            <w:gridSpan w:val="5"/>
          </w:tcPr>
          <w:p w14:paraId="5A45307F" w14:textId="5EC97983" w:rsidR="001D6AC0" w:rsidRPr="00EC247F" w:rsidRDefault="001D6AC0" w:rsidP="001D6AC0">
            <w:pPr>
              <w:jc w:val="center"/>
              <w:rPr>
                <w:lang w:val="lt-LT"/>
              </w:rPr>
            </w:pPr>
            <w:r w:rsidRPr="00EC247F">
              <w:rPr>
                <w:b/>
                <w:lang w:val="lt-LT"/>
              </w:rPr>
              <w:lastRenderedPageBreak/>
              <w:t>Laikas</w:t>
            </w:r>
          </w:p>
        </w:tc>
      </w:tr>
      <w:tr w:rsidR="00A962F9" w:rsidRPr="00485D1C" w14:paraId="67BE8B3E" w14:textId="77777777" w:rsidTr="001D6AC0">
        <w:trPr>
          <w:jc w:val="center"/>
        </w:trPr>
        <w:tc>
          <w:tcPr>
            <w:tcW w:w="570" w:type="dxa"/>
          </w:tcPr>
          <w:p w14:paraId="0FFA9DD2" w14:textId="06422296" w:rsidR="00A962F9" w:rsidRPr="00EC247F" w:rsidRDefault="00702435" w:rsidP="001D6AC0">
            <w:pPr>
              <w:rPr>
                <w:lang w:val="lt-LT"/>
              </w:rPr>
            </w:pPr>
            <w:r>
              <w:rPr>
                <w:lang w:val="lt-LT"/>
              </w:rPr>
              <w:t>10.</w:t>
            </w:r>
          </w:p>
        </w:tc>
        <w:tc>
          <w:tcPr>
            <w:tcW w:w="3115" w:type="dxa"/>
          </w:tcPr>
          <w:p w14:paraId="1C8527E1" w14:textId="0869BC26" w:rsidR="00A962F9" w:rsidRPr="00EC247F" w:rsidRDefault="00A962F9" w:rsidP="001D6AC0">
            <w:pPr>
              <w:rPr>
                <w:lang w:val="lt-LT"/>
              </w:rPr>
            </w:pPr>
            <w:r w:rsidRPr="00EC247F">
              <w:rPr>
                <w:lang w:val="lt-LT"/>
              </w:rPr>
              <w:t>Laikas skiriamas darbinei veiklai per dieną (valandomis)</w:t>
            </w:r>
          </w:p>
        </w:tc>
        <w:tc>
          <w:tcPr>
            <w:tcW w:w="2340" w:type="dxa"/>
          </w:tcPr>
          <w:p w14:paraId="1256A666" w14:textId="77777777" w:rsidR="00A962F9" w:rsidRPr="00EC247F" w:rsidRDefault="00A962F9" w:rsidP="001D6AC0">
            <w:pPr>
              <w:rPr>
                <w:lang w:val="lt-LT"/>
              </w:rPr>
            </w:pPr>
            <w:r w:rsidRPr="00EC247F">
              <w:rPr>
                <w:lang w:val="lt-LT"/>
              </w:rPr>
              <w:t xml:space="preserve">Savivaldybės </w:t>
            </w:r>
          </w:p>
          <w:p w14:paraId="213A407E" w14:textId="77777777" w:rsidR="00A962F9" w:rsidRPr="00EC247F" w:rsidRDefault="00A962F9" w:rsidP="001D6AC0">
            <w:pPr>
              <w:rPr>
                <w:lang w:val="lt-LT"/>
              </w:rPr>
            </w:pPr>
            <w:r w:rsidRPr="00EC247F">
              <w:rPr>
                <w:lang w:val="lt-LT"/>
              </w:rPr>
              <w:t>Lytis</w:t>
            </w:r>
          </w:p>
          <w:p w14:paraId="3B57AB1F" w14:textId="77777777" w:rsidR="00A962F9" w:rsidRPr="00EC247F" w:rsidRDefault="00A962F9" w:rsidP="001D6AC0">
            <w:pPr>
              <w:rPr>
                <w:lang w:val="lt-LT"/>
              </w:rPr>
            </w:pPr>
          </w:p>
        </w:tc>
        <w:tc>
          <w:tcPr>
            <w:tcW w:w="1440" w:type="dxa"/>
          </w:tcPr>
          <w:p w14:paraId="2D4C8992" w14:textId="77777777" w:rsidR="00A962F9" w:rsidRPr="00EC247F" w:rsidRDefault="00A962F9" w:rsidP="001D6AC0">
            <w:pPr>
              <w:rPr>
                <w:lang w:val="lt-LT"/>
              </w:rPr>
            </w:pPr>
          </w:p>
        </w:tc>
        <w:tc>
          <w:tcPr>
            <w:tcW w:w="8280" w:type="dxa"/>
            <w:vMerge w:val="restart"/>
          </w:tcPr>
          <w:p w14:paraId="6C46808D" w14:textId="66288AE6" w:rsidR="00A962F9" w:rsidRPr="00EC247F" w:rsidRDefault="00A962F9" w:rsidP="00E755A8">
            <w:pPr>
              <w:rPr>
                <w:lang w:val="lt-LT"/>
              </w:rPr>
            </w:pPr>
            <w:r w:rsidRPr="00EC247F">
              <w:rPr>
                <w:lang w:val="lt-LT"/>
              </w:rPr>
              <w:t xml:space="preserve">Diskriminuojančių socialinių normų poveikio lyčių nelygybei analizė yra svarbi siekiant darnios savivaldybių plėtros. Privataus gyvenimo organizavimą ir santykius su vaikais grindžiant tradiciniu požiūriu į </w:t>
            </w:r>
            <w:r w:rsidR="008D4836">
              <w:rPr>
                <w:lang w:val="lt-LT"/>
              </w:rPr>
              <w:t>moteriškumą</w:t>
            </w:r>
            <w:r w:rsidRPr="00EC247F">
              <w:rPr>
                <w:lang w:val="lt-LT"/>
              </w:rPr>
              <w:t xml:space="preserve"> ir </w:t>
            </w:r>
            <w:r w:rsidR="008D4836" w:rsidRPr="00EC247F">
              <w:rPr>
                <w:lang w:val="lt-LT"/>
              </w:rPr>
              <w:t>vyriškumą</w:t>
            </w:r>
            <w:r w:rsidR="008D4836">
              <w:rPr>
                <w:lang w:val="lt-LT"/>
              </w:rPr>
              <w:t>,</w:t>
            </w:r>
            <w:r w:rsidR="008D4836" w:rsidRPr="00EC247F">
              <w:rPr>
                <w:lang w:val="lt-LT"/>
              </w:rPr>
              <w:t xml:space="preserve"> </w:t>
            </w:r>
            <w:r w:rsidRPr="00EC247F">
              <w:rPr>
                <w:lang w:val="lt-LT"/>
              </w:rPr>
              <w:t xml:space="preserve">įtvirtinamos nevienodos </w:t>
            </w:r>
            <w:r w:rsidR="00E755A8" w:rsidRPr="00EC247F">
              <w:rPr>
                <w:lang w:val="lt-LT"/>
              </w:rPr>
              <w:t xml:space="preserve">moterų </w:t>
            </w:r>
            <w:r w:rsidRPr="00EC247F">
              <w:rPr>
                <w:lang w:val="lt-LT"/>
              </w:rPr>
              <w:t xml:space="preserve">ir </w:t>
            </w:r>
            <w:r w:rsidR="00E755A8" w:rsidRPr="00EC247F">
              <w:rPr>
                <w:lang w:val="lt-LT"/>
              </w:rPr>
              <w:t xml:space="preserve">vyrų </w:t>
            </w:r>
            <w:r w:rsidRPr="00EC247F">
              <w:rPr>
                <w:lang w:val="lt-LT"/>
              </w:rPr>
              <w:t>pozicijos privačioje sferoje</w:t>
            </w:r>
            <w:r w:rsidRPr="00EC247F">
              <w:rPr>
                <w:rStyle w:val="FootnoteReference"/>
                <w:lang w:val="lt-LT"/>
              </w:rPr>
              <w:footnoteReference w:id="85"/>
            </w:r>
            <w:r w:rsidRPr="00EC247F">
              <w:rPr>
                <w:lang w:val="lt-LT"/>
              </w:rPr>
              <w:t>, o tai atsiliepia moterų veiklai viešojoje erdvėje.</w:t>
            </w:r>
            <w:r w:rsidR="00313AB3" w:rsidRPr="00EC247F">
              <w:rPr>
                <w:lang w:val="lt-LT"/>
              </w:rPr>
              <w:t xml:space="preserve"> Siekiant išmatuoti normų ir lyčių vaidmenų poveikį lyčių n</w:t>
            </w:r>
            <w:r w:rsidR="00E755A8">
              <w:rPr>
                <w:lang w:val="lt-LT"/>
              </w:rPr>
              <w:t>elygybei daugelyje pasaulio šalių</w:t>
            </w:r>
            <w:r w:rsidR="00313AB3" w:rsidRPr="00EC247F">
              <w:rPr>
                <w:lang w:val="lt-LT"/>
              </w:rPr>
              <w:t xml:space="preserve"> renkami duomenys apie laiką, kurį moterys ir vyrai skiria apmokamam ir neapmokama</w:t>
            </w:r>
            <w:r w:rsidR="00E755A8">
              <w:rPr>
                <w:lang w:val="lt-LT"/>
              </w:rPr>
              <w:t>m</w:t>
            </w:r>
            <w:r w:rsidR="00313AB3" w:rsidRPr="00EC247F">
              <w:rPr>
                <w:lang w:val="lt-LT"/>
              </w:rPr>
              <w:t xml:space="preserve"> darbui, laisvalaikiui. Tačiau </w:t>
            </w:r>
            <w:r w:rsidR="00DB6367" w:rsidRPr="00EC247F">
              <w:rPr>
                <w:lang w:val="lt-LT"/>
              </w:rPr>
              <w:t xml:space="preserve">ši informacija gaunama </w:t>
            </w:r>
            <w:r w:rsidR="00313AB3" w:rsidRPr="00EC247F">
              <w:rPr>
                <w:lang w:val="lt-LT"/>
              </w:rPr>
              <w:t xml:space="preserve">atrankinių tyrimų </w:t>
            </w:r>
            <w:r w:rsidR="00DB6367" w:rsidRPr="00EC247F">
              <w:rPr>
                <w:lang w:val="lt-LT"/>
              </w:rPr>
              <w:t>pagalba</w:t>
            </w:r>
            <w:r w:rsidR="00313AB3" w:rsidRPr="00EC247F">
              <w:rPr>
                <w:lang w:val="lt-LT"/>
              </w:rPr>
              <w:t xml:space="preserve"> (</w:t>
            </w:r>
            <w:r w:rsidR="00DB6367" w:rsidRPr="00EC247F">
              <w:rPr>
                <w:lang w:val="lt-LT"/>
              </w:rPr>
              <w:t xml:space="preserve">Europos šalių </w:t>
            </w:r>
            <w:r w:rsidR="00313AB3" w:rsidRPr="00EC247F">
              <w:rPr>
                <w:lang w:val="lt-LT"/>
              </w:rPr>
              <w:t xml:space="preserve">atveju – </w:t>
            </w:r>
            <w:proofErr w:type="spellStart"/>
            <w:r w:rsidR="00313AB3" w:rsidRPr="00EC247F">
              <w:rPr>
                <w:i/>
                <w:lang w:val="lt-LT"/>
              </w:rPr>
              <w:t>European</w:t>
            </w:r>
            <w:proofErr w:type="spellEnd"/>
            <w:r w:rsidR="00313AB3" w:rsidRPr="00EC247F">
              <w:rPr>
                <w:i/>
                <w:lang w:val="lt-LT"/>
              </w:rPr>
              <w:t xml:space="preserve"> </w:t>
            </w:r>
            <w:proofErr w:type="spellStart"/>
            <w:r w:rsidR="00DB6367" w:rsidRPr="00EC247F">
              <w:rPr>
                <w:i/>
                <w:lang w:val="lt-LT"/>
              </w:rPr>
              <w:t>Quality</w:t>
            </w:r>
            <w:proofErr w:type="spellEnd"/>
            <w:r w:rsidR="00DB6367" w:rsidRPr="00EC247F">
              <w:rPr>
                <w:i/>
                <w:lang w:val="lt-LT"/>
              </w:rPr>
              <w:t xml:space="preserve"> </w:t>
            </w:r>
            <w:proofErr w:type="spellStart"/>
            <w:r w:rsidR="00DB6367" w:rsidRPr="00EC247F">
              <w:rPr>
                <w:i/>
                <w:lang w:val="lt-LT"/>
              </w:rPr>
              <w:t>of</w:t>
            </w:r>
            <w:proofErr w:type="spellEnd"/>
            <w:r w:rsidR="00DB6367" w:rsidRPr="00EC247F">
              <w:rPr>
                <w:i/>
                <w:lang w:val="lt-LT"/>
              </w:rPr>
              <w:t xml:space="preserve"> </w:t>
            </w:r>
            <w:proofErr w:type="spellStart"/>
            <w:r w:rsidR="00DB6367" w:rsidRPr="00EC247F">
              <w:rPr>
                <w:i/>
                <w:lang w:val="lt-LT"/>
              </w:rPr>
              <w:t>Life</w:t>
            </w:r>
            <w:proofErr w:type="spellEnd"/>
            <w:r w:rsidR="00313AB3" w:rsidRPr="00EC247F">
              <w:rPr>
                <w:i/>
                <w:lang w:val="lt-LT"/>
              </w:rPr>
              <w:t xml:space="preserve"> </w:t>
            </w:r>
            <w:proofErr w:type="spellStart"/>
            <w:r w:rsidR="00313AB3" w:rsidRPr="00EC247F">
              <w:rPr>
                <w:i/>
                <w:lang w:val="lt-LT"/>
              </w:rPr>
              <w:t>Survey</w:t>
            </w:r>
            <w:proofErr w:type="spellEnd"/>
            <w:r w:rsidR="00313AB3" w:rsidRPr="00EC247F">
              <w:rPr>
                <w:lang w:val="lt-LT"/>
              </w:rPr>
              <w:t xml:space="preserve"> (E</w:t>
            </w:r>
            <w:r w:rsidR="00DB6367" w:rsidRPr="00EC247F">
              <w:rPr>
                <w:lang w:val="lt-LT"/>
              </w:rPr>
              <w:t>QLS</w:t>
            </w:r>
            <w:r w:rsidR="00313AB3" w:rsidRPr="00EC247F">
              <w:rPr>
                <w:lang w:val="lt-LT"/>
              </w:rPr>
              <w:t xml:space="preserve">) </w:t>
            </w:r>
            <w:r w:rsidR="00DB6367" w:rsidRPr="00EC247F">
              <w:rPr>
                <w:lang w:val="lt-LT"/>
              </w:rPr>
              <w:t xml:space="preserve">ir </w:t>
            </w:r>
            <w:proofErr w:type="spellStart"/>
            <w:r w:rsidR="00DB6367" w:rsidRPr="00EC247F">
              <w:rPr>
                <w:i/>
                <w:lang w:val="lt-LT"/>
              </w:rPr>
              <w:t>European</w:t>
            </w:r>
            <w:proofErr w:type="spellEnd"/>
            <w:r w:rsidR="00DB6367" w:rsidRPr="00EC247F">
              <w:rPr>
                <w:i/>
                <w:lang w:val="lt-LT"/>
              </w:rPr>
              <w:t xml:space="preserve"> </w:t>
            </w:r>
            <w:proofErr w:type="spellStart"/>
            <w:r w:rsidR="00DB6367" w:rsidRPr="00EC247F">
              <w:rPr>
                <w:i/>
                <w:lang w:val="lt-LT"/>
              </w:rPr>
              <w:t>Working</w:t>
            </w:r>
            <w:proofErr w:type="spellEnd"/>
            <w:r w:rsidR="00DB6367" w:rsidRPr="00EC247F">
              <w:rPr>
                <w:i/>
                <w:lang w:val="lt-LT"/>
              </w:rPr>
              <w:t xml:space="preserve"> </w:t>
            </w:r>
            <w:proofErr w:type="spellStart"/>
            <w:r w:rsidR="00DB6367" w:rsidRPr="00EC247F">
              <w:rPr>
                <w:i/>
                <w:lang w:val="lt-LT"/>
              </w:rPr>
              <w:t>Conditions</w:t>
            </w:r>
            <w:proofErr w:type="spellEnd"/>
            <w:r w:rsidR="00DB6367" w:rsidRPr="00EC247F">
              <w:rPr>
                <w:i/>
                <w:lang w:val="lt-LT"/>
              </w:rPr>
              <w:t xml:space="preserve"> </w:t>
            </w:r>
            <w:proofErr w:type="spellStart"/>
            <w:r w:rsidR="00DB6367" w:rsidRPr="00EC247F">
              <w:rPr>
                <w:i/>
                <w:lang w:val="lt-LT"/>
              </w:rPr>
              <w:t>Survey</w:t>
            </w:r>
            <w:proofErr w:type="spellEnd"/>
            <w:r w:rsidR="00DB6367" w:rsidRPr="00EC247F">
              <w:rPr>
                <w:lang w:val="lt-LT"/>
              </w:rPr>
              <w:t xml:space="preserve"> (EWCS)), todėl</w:t>
            </w:r>
            <w:r w:rsidR="00313AB3" w:rsidRPr="00EC247F">
              <w:rPr>
                <w:lang w:val="lt-LT"/>
              </w:rPr>
              <w:t xml:space="preserve"> tinkama tik analizei visos šalies mastu, dėl </w:t>
            </w:r>
            <w:r w:rsidR="00E755A8">
              <w:rPr>
                <w:lang w:val="lt-LT"/>
              </w:rPr>
              <w:t>nedidelio respondentų skaičiaus</w:t>
            </w:r>
            <w:r w:rsidR="00313AB3" w:rsidRPr="00EC247F">
              <w:rPr>
                <w:lang w:val="lt-LT"/>
              </w:rPr>
              <w:t xml:space="preserve"> pjūviai pagal savivaldybes nebūtų reprezentatyvūs.</w:t>
            </w:r>
          </w:p>
        </w:tc>
      </w:tr>
      <w:tr w:rsidR="00A962F9" w:rsidRPr="00EC247F" w14:paraId="7C0BF856" w14:textId="77777777" w:rsidTr="001D6AC0">
        <w:trPr>
          <w:jc w:val="center"/>
        </w:trPr>
        <w:tc>
          <w:tcPr>
            <w:tcW w:w="570" w:type="dxa"/>
          </w:tcPr>
          <w:p w14:paraId="75C98C4D" w14:textId="323587AB" w:rsidR="00A962F9" w:rsidRPr="00EC247F" w:rsidRDefault="00702435" w:rsidP="001D6AC0">
            <w:pPr>
              <w:rPr>
                <w:lang w:val="lt-LT"/>
              </w:rPr>
            </w:pPr>
            <w:r>
              <w:rPr>
                <w:lang w:val="lt-LT"/>
              </w:rPr>
              <w:t>11.</w:t>
            </w:r>
          </w:p>
        </w:tc>
        <w:tc>
          <w:tcPr>
            <w:tcW w:w="3115" w:type="dxa"/>
          </w:tcPr>
          <w:p w14:paraId="5018595D" w14:textId="5B63AF68" w:rsidR="00A962F9" w:rsidRPr="00EC247F" w:rsidRDefault="00A962F9" w:rsidP="001D6AC0">
            <w:pPr>
              <w:rPr>
                <w:lang w:val="lt-LT"/>
              </w:rPr>
            </w:pPr>
            <w:r w:rsidRPr="00EC247F">
              <w:rPr>
                <w:lang w:val="lt-LT"/>
              </w:rPr>
              <w:t>Laikas skiriamas namų ūkio ir/ar vaikų priežiūrai per dieną (valandomis)</w:t>
            </w:r>
          </w:p>
        </w:tc>
        <w:tc>
          <w:tcPr>
            <w:tcW w:w="2340" w:type="dxa"/>
          </w:tcPr>
          <w:p w14:paraId="52C8E668" w14:textId="77777777" w:rsidR="00A962F9" w:rsidRPr="00EC247F" w:rsidRDefault="00A962F9" w:rsidP="001D6AC0">
            <w:pPr>
              <w:rPr>
                <w:lang w:val="lt-LT"/>
              </w:rPr>
            </w:pPr>
            <w:r w:rsidRPr="00EC247F">
              <w:rPr>
                <w:lang w:val="lt-LT"/>
              </w:rPr>
              <w:t xml:space="preserve">Savivaldybės </w:t>
            </w:r>
          </w:p>
          <w:p w14:paraId="003C0C4F" w14:textId="77777777" w:rsidR="00A962F9" w:rsidRPr="00EC247F" w:rsidRDefault="00A962F9" w:rsidP="001D6AC0">
            <w:pPr>
              <w:rPr>
                <w:lang w:val="lt-LT"/>
              </w:rPr>
            </w:pPr>
            <w:r w:rsidRPr="00EC247F">
              <w:rPr>
                <w:lang w:val="lt-LT"/>
              </w:rPr>
              <w:t>Lytis</w:t>
            </w:r>
          </w:p>
          <w:p w14:paraId="51291422" w14:textId="77777777" w:rsidR="00A962F9" w:rsidRPr="00EC247F" w:rsidRDefault="00A962F9" w:rsidP="001D6AC0">
            <w:pPr>
              <w:rPr>
                <w:lang w:val="lt-LT"/>
              </w:rPr>
            </w:pPr>
          </w:p>
        </w:tc>
        <w:tc>
          <w:tcPr>
            <w:tcW w:w="1440" w:type="dxa"/>
          </w:tcPr>
          <w:p w14:paraId="2FF643E7" w14:textId="77777777" w:rsidR="00A962F9" w:rsidRPr="00EC247F" w:rsidRDefault="00A962F9" w:rsidP="001D6AC0">
            <w:pPr>
              <w:rPr>
                <w:lang w:val="lt-LT"/>
              </w:rPr>
            </w:pPr>
          </w:p>
        </w:tc>
        <w:tc>
          <w:tcPr>
            <w:tcW w:w="8280" w:type="dxa"/>
            <w:vMerge/>
          </w:tcPr>
          <w:p w14:paraId="1597CFCF" w14:textId="77777777" w:rsidR="00A962F9" w:rsidRPr="00EC247F" w:rsidRDefault="00A962F9" w:rsidP="001D6AC0">
            <w:pPr>
              <w:rPr>
                <w:lang w:val="lt-LT"/>
              </w:rPr>
            </w:pPr>
          </w:p>
        </w:tc>
      </w:tr>
      <w:tr w:rsidR="00A962F9" w:rsidRPr="00EC247F" w14:paraId="4DEDB707" w14:textId="77777777" w:rsidTr="001D6AC0">
        <w:trPr>
          <w:jc w:val="center"/>
        </w:trPr>
        <w:tc>
          <w:tcPr>
            <w:tcW w:w="570" w:type="dxa"/>
          </w:tcPr>
          <w:p w14:paraId="3EA83181" w14:textId="4AA28748" w:rsidR="00A962F9" w:rsidRPr="00EC247F" w:rsidRDefault="00702435" w:rsidP="001D6AC0">
            <w:pPr>
              <w:rPr>
                <w:lang w:val="lt-LT"/>
              </w:rPr>
            </w:pPr>
            <w:r>
              <w:rPr>
                <w:lang w:val="lt-LT"/>
              </w:rPr>
              <w:t>12.</w:t>
            </w:r>
          </w:p>
        </w:tc>
        <w:tc>
          <w:tcPr>
            <w:tcW w:w="3115" w:type="dxa"/>
          </w:tcPr>
          <w:p w14:paraId="5580037E" w14:textId="1A4D0C10" w:rsidR="00A962F9" w:rsidRPr="00EC247F" w:rsidRDefault="00A962F9" w:rsidP="001D6AC0">
            <w:pPr>
              <w:rPr>
                <w:lang w:val="lt-LT"/>
              </w:rPr>
            </w:pPr>
            <w:r w:rsidRPr="00EC247F">
              <w:rPr>
                <w:lang w:val="lt-LT"/>
              </w:rPr>
              <w:t>Laikas skiriamas visuomeninei veiklai ir/ar poilsiui per dieną (valandomis)</w:t>
            </w:r>
          </w:p>
        </w:tc>
        <w:tc>
          <w:tcPr>
            <w:tcW w:w="2340" w:type="dxa"/>
          </w:tcPr>
          <w:p w14:paraId="1AB0F517" w14:textId="77777777" w:rsidR="00A962F9" w:rsidRPr="00EC247F" w:rsidRDefault="00A962F9" w:rsidP="001D6AC0">
            <w:pPr>
              <w:rPr>
                <w:lang w:val="lt-LT"/>
              </w:rPr>
            </w:pPr>
            <w:r w:rsidRPr="00EC247F">
              <w:rPr>
                <w:lang w:val="lt-LT"/>
              </w:rPr>
              <w:t xml:space="preserve">Savivaldybės </w:t>
            </w:r>
          </w:p>
          <w:p w14:paraId="11B7244A" w14:textId="77777777" w:rsidR="00A962F9" w:rsidRPr="00EC247F" w:rsidRDefault="00A962F9" w:rsidP="001D6AC0">
            <w:pPr>
              <w:rPr>
                <w:lang w:val="lt-LT"/>
              </w:rPr>
            </w:pPr>
            <w:r w:rsidRPr="00EC247F">
              <w:rPr>
                <w:lang w:val="lt-LT"/>
              </w:rPr>
              <w:t>Lytis</w:t>
            </w:r>
          </w:p>
          <w:p w14:paraId="2B12EC9D" w14:textId="77777777" w:rsidR="00A962F9" w:rsidRPr="00EC247F" w:rsidRDefault="00A962F9" w:rsidP="001D6AC0">
            <w:pPr>
              <w:rPr>
                <w:lang w:val="lt-LT"/>
              </w:rPr>
            </w:pPr>
          </w:p>
        </w:tc>
        <w:tc>
          <w:tcPr>
            <w:tcW w:w="1440" w:type="dxa"/>
          </w:tcPr>
          <w:p w14:paraId="100C15D6" w14:textId="77777777" w:rsidR="00A962F9" w:rsidRPr="00EC247F" w:rsidRDefault="00A962F9" w:rsidP="001D6AC0">
            <w:pPr>
              <w:rPr>
                <w:lang w:val="lt-LT"/>
              </w:rPr>
            </w:pPr>
          </w:p>
        </w:tc>
        <w:tc>
          <w:tcPr>
            <w:tcW w:w="8280" w:type="dxa"/>
            <w:vMerge/>
          </w:tcPr>
          <w:p w14:paraId="3AAE5B34" w14:textId="77777777" w:rsidR="00A962F9" w:rsidRPr="00EC247F" w:rsidRDefault="00A962F9" w:rsidP="001D6AC0">
            <w:pPr>
              <w:rPr>
                <w:lang w:val="lt-LT"/>
              </w:rPr>
            </w:pPr>
          </w:p>
        </w:tc>
      </w:tr>
      <w:tr w:rsidR="006F0F3E" w:rsidRPr="00EC247F" w14:paraId="0171A3DB" w14:textId="77777777" w:rsidTr="00E16B43">
        <w:trPr>
          <w:jc w:val="center"/>
        </w:trPr>
        <w:tc>
          <w:tcPr>
            <w:tcW w:w="570" w:type="dxa"/>
          </w:tcPr>
          <w:p w14:paraId="44253C9F" w14:textId="77777777" w:rsidR="006F0F3E" w:rsidRPr="00EC247F" w:rsidRDefault="006F0F3E" w:rsidP="001D6AC0">
            <w:pPr>
              <w:rPr>
                <w:lang w:val="lt-LT"/>
              </w:rPr>
            </w:pPr>
          </w:p>
        </w:tc>
        <w:tc>
          <w:tcPr>
            <w:tcW w:w="15175" w:type="dxa"/>
            <w:gridSpan w:val="4"/>
          </w:tcPr>
          <w:p w14:paraId="1890AE0B" w14:textId="7C6D8A5F" w:rsidR="006F0F3E" w:rsidRPr="00EC247F" w:rsidRDefault="006F0F3E" w:rsidP="001B1F1B">
            <w:pPr>
              <w:jc w:val="center"/>
              <w:rPr>
                <w:lang w:val="lt-LT"/>
              </w:rPr>
            </w:pPr>
            <w:r w:rsidRPr="006F0F3E">
              <w:rPr>
                <w:b/>
                <w:lang w:val="lt-LT"/>
              </w:rPr>
              <w:t>Smurtas artimoje aplinkoje</w:t>
            </w:r>
          </w:p>
        </w:tc>
      </w:tr>
      <w:tr w:rsidR="006F0F3E" w:rsidRPr="00485D1C" w14:paraId="4000C014" w14:textId="77777777" w:rsidTr="001D6AC0">
        <w:trPr>
          <w:jc w:val="center"/>
        </w:trPr>
        <w:tc>
          <w:tcPr>
            <w:tcW w:w="570" w:type="dxa"/>
          </w:tcPr>
          <w:p w14:paraId="4F9A2B81" w14:textId="582CBF07" w:rsidR="006F0F3E" w:rsidRPr="00EC247F" w:rsidRDefault="00702435" w:rsidP="001D6AC0">
            <w:pPr>
              <w:rPr>
                <w:lang w:val="lt-LT"/>
              </w:rPr>
            </w:pPr>
            <w:r>
              <w:rPr>
                <w:lang w:val="lt-LT"/>
              </w:rPr>
              <w:t>13.</w:t>
            </w:r>
          </w:p>
        </w:tc>
        <w:tc>
          <w:tcPr>
            <w:tcW w:w="3115" w:type="dxa"/>
          </w:tcPr>
          <w:p w14:paraId="6883E2E8" w14:textId="3BAF282A" w:rsidR="006F0F3E" w:rsidRPr="00EC247F" w:rsidRDefault="006F0F3E" w:rsidP="001D6AC0">
            <w:pPr>
              <w:rPr>
                <w:lang w:val="lt-LT"/>
              </w:rPr>
            </w:pPr>
            <w:r w:rsidRPr="006F0F3E">
              <w:rPr>
                <w:lang w:val="lt-LT"/>
              </w:rPr>
              <w:t>Asmenų, nukentėjusių nuo smurto artimoje aplinkoje, skaičius, tenkantis 100 tūkst. atitinkamo amžiaus gyventojų</w:t>
            </w:r>
          </w:p>
        </w:tc>
        <w:tc>
          <w:tcPr>
            <w:tcW w:w="2340" w:type="dxa"/>
          </w:tcPr>
          <w:p w14:paraId="26A4BF77" w14:textId="217ACED3" w:rsidR="006F0F3E" w:rsidRPr="00EC247F" w:rsidRDefault="006F0F3E" w:rsidP="001D6AC0">
            <w:pPr>
              <w:rPr>
                <w:lang w:val="lt-LT"/>
              </w:rPr>
            </w:pPr>
            <w:r w:rsidRPr="006F0F3E">
              <w:rPr>
                <w:lang w:val="lt-LT"/>
              </w:rPr>
              <w:t>Smurto forma (fizinis, psichologinis, seksualinis, nepriežiūra, ekonominis)</w:t>
            </w:r>
          </w:p>
        </w:tc>
        <w:tc>
          <w:tcPr>
            <w:tcW w:w="1440" w:type="dxa"/>
          </w:tcPr>
          <w:p w14:paraId="19520243" w14:textId="77777777" w:rsidR="006F0F3E" w:rsidRPr="00EC247F" w:rsidRDefault="006F0F3E" w:rsidP="001D6AC0">
            <w:pPr>
              <w:rPr>
                <w:lang w:val="lt-LT"/>
              </w:rPr>
            </w:pPr>
          </w:p>
        </w:tc>
        <w:tc>
          <w:tcPr>
            <w:tcW w:w="8280" w:type="dxa"/>
          </w:tcPr>
          <w:p w14:paraId="7A2D897F" w14:textId="05C2D9EA" w:rsidR="004466CF" w:rsidRPr="00EC247F" w:rsidRDefault="004466CF" w:rsidP="004466CF">
            <w:pPr>
              <w:rPr>
                <w:lang w:val="lt-LT"/>
              </w:rPr>
            </w:pPr>
            <w:r>
              <w:rPr>
                <w:lang w:val="lt-LT"/>
              </w:rPr>
              <w:t>Dėl mažo atvejų skaičiaus, kuomet smurtas ar</w:t>
            </w:r>
            <w:r w:rsidR="00E755A8">
              <w:rPr>
                <w:lang w:val="lt-LT"/>
              </w:rPr>
              <w:t>timoje aplinkoje analizuojama</w:t>
            </w:r>
            <w:r w:rsidR="001B6CF2">
              <w:rPr>
                <w:lang w:val="lt-LT"/>
              </w:rPr>
              <w:t>s smurto formos aspektu, atsiranda rizika pažeisti nukentėjusiųjų konfidencialumą.</w:t>
            </w:r>
          </w:p>
        </w:tc>
      </w:tr>
    </w:tbl>
    <w:p w14:paraId="48A325BF" w14:textId="59547F2F" w:rsidR="00AE34FF" w:rsidRPr="00EC247F" w:rsidRDefault="00AE34FF" w:rsidP="009677FC">
      <w:pPr>
        <w:rPr>
          <w:lang w:val="lt-LT"/>
        </w:rPr>
      </w:pPr>
    </w:p>
    <w:sectPr w:rsidR="00AE34FF" w:rsidRPr="00EC247F" w:rsidSect="00DC08E3">
      <w:pgSz w:w="16838" w:h="11906" w:orient="landscape"/>
      <w:pgMar w:top="994" w:right="576" w:bottom="864" w:left="720"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1522" w14:textId="77777777" w:rsidR="00E52568" w:rsidRDefault="00E52568" w:rsidP="006E0668">
      <w:r>
        <w:separator/>
      </w:r>
    </w:p>
  </w:endnote>
  <w:endnote w:type="continuationSeparator" w:id="0">
    <w:p w14:paraId="16449F04" w14:textId="77777777" w:rsidR="00E52568" w:rsidRDefault="00E52568" w:rsidP="006E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025121"/>
      <w:docPartObj>
        <w:docPartGallery w:val="Page Numbers (Bottom of Page)"/>
        <w:docPartUnique/>
      </w:docPartObj>
    </w:sdtPr>
    <w:sdtEndPr>
      <w:rPr>
        <w:noProof/>
      </w:rPr>
    </w:sdtEndPr>
    <w:sdtContent>
      <w:p w14:paraId="5A80B825" w14:textId="77777777" w:rsidR="00400FFF" w:rsidRDefault="00400FFF">
        <w:pPr>
          <w:pStyle w:val="Footer"/>
          <w:jc w:val="center"/>
        </w:pPr>
        <w:r>
          <w:fldChar w:fldCharType="begin"/>
        </w:r>
        <w:r>
          <w:instrText xml:space="preserve"> PAGE   \* MERGEFORMAT </w:instrText>
        </w:r>
        <w:r>
          <w:fldChar w:fldCharType="separate"/>
        </w:r>
        <w:r w:rsidR="00485D1C">
          <w:rPr>
            <w:noProof/>
          </w:rPr>
          <w:t>27</w:t>
        </w:r>
        <w:r>
          <w:rPr>
            <w:noProof/>
          </w:rPr>
          <w:fldChar w:fldCharType="end"/>
        </w:r>
      </w:p>
    </w:sdtContent>
  </w:sdt>
  <w:p w14:paraId="17254886" w14:textId="77777777" w:rsidR="00400FFF" w:rsidRDefault="0040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2CFE" w14:textId="77777777" w:rsidR="00E52568" w:rsidRDefault="00E52568" w:rsidP="006E0668">
      <w:r>
        <w:separator/>
      </w:r>
    </w:p>
  </w:footnote>
  <w:footnote w:type="continuationSeparator" w:id="0">
    <w:p w14:paraId="4F347F22" w14:textId="77777777" w:rsidR="00E52568" w:rsidRDefault="00E52568" w:rsidP="006E0668">
      <w:r>
        <w:continuationSeparator/>
      </w:r>
    </w:p>
  </w:footnote>
  <w:footnote w:id="1">
    <w:p w14:paraId="1044C9CF" w14:textId="15CC2DD3" w:rsidR="00400FFF" w:rsidRPr="00F21CD0" w:rsidRDefault="00400FFF">
      <w:pPr>
        <w:pStyle w:val="FootnoteText"/>
        <w:rPr>
          <w:lang w:val="lt-LT"/>
        </w:rPr>
      </w:pPr>
      <w:r>
        <w:rPr>
          <w:rStyle w:val="FootnoteReference"/>
        </w:rPr>
        <w:footnoteRef/>
      </w:r>
      <w:r>
        <w:t xml:space="preserve"> </w:t>
      </w:r>
      <w:hyperlink r:id="rId1" w:history="1">
        <w:r w:rsidRPr="00B76CE7">
          <w:rPr>
            <w:rStyle w:val="Hyperlink"/>
          </w:rPr>
          <w:t>https://e-seimas.lrs.lt/portal/legalActPrint/lt?jfwid=a82o5airv&amp;actualEditionId=GuhEhIQOzB&amp;documentId=TAIS.415723&amp;category=TAD</w:t>
        </w:r>
      </w:hyperlink>
      <w:r>
        <w:t xml:space="preserve"> </w:t>
      </w:r>
    </w:p>
  </w:footnote>
  <w:footnote w:id="2">
    <w:p w14:paraId="67FC4839" w14:textId="7BA02A05" w:rsidR="00400FFF" w:rsidRPr="00E50C2D" w:rsidRDefault="00400FFF">
      <w:pPr>
        <w:pStyle w:val="FootnoteText"/>
        <w:rPr>
          <w:lang w:val="lt-LT"/>
        </w:rPr>
      </w:pPr>
      <w:r>
        <w:rPr>
          <w:rStyle w:val="FootnoteReference"/>
        </w:rPr>
        <w:footnoteRef/>
      </w:r>
      <w:r w:rsidRPr="00E50C2D">
        <w:rPr>
          <w:lang w:val="lt-LT"/>
        </w:rPr>
        <w:t xml:space="preserve"> </w:t>
      </w:r>
      <w:r>
        <w:rPr>
          <w:lang w:val="lt-LT"/>
        </w:rPr>
        <w:t xml:space="preserve">Čia ir toliau tekste rodiklio būsena žymima „Skelbiama“, jei statistiniai duomenys yra skelbiami (prieinami visuomenei) oficialiąją statistiką tvarkančių institucijų portaluose. </w:t>
      </w:r>
    </w:p>
  </w:footnote>
  <w:footnote w:id="3">
    <w:p w14:paraId="06479444" w14:textId="77777777" w:rsidR="00400FFF" w:rsidRPr="007D4297" w:rsidRDefault="00400FFF" w:rsidP="00B21481">
      <w:pPr>
        <w:pStyle w:val="FootnoteText"/>
        <w:rPr>
          <w:lang w:val="lt-LT"/>
        </w:rPr>
      </w:pPr>
      <w:r w:rsidRPr="007D4297">
        <w:rPr>
          <w:rStyle w:val="FootnoteReference"/>
          <w:lang w:val="lt-LT"/>
        </w:rPr>
        <w:footnoteRef/>
      </w:r>
      <w:r w:rsidRPr="007D4297">
        <w:rPr>
          <w:lang w:val="lt-LT"/>
        </w:rPr>
        <w:t xml:space="preserve"> </w:t>
      </w:r>
      <w:hyperlink r:id="rId2" w:history="1">
        <w:r w:rsidRPr="007D4297">
          <w:rPr>
            <w:rStyle w:val="Hyperlink"/>
            <w:lang w:val="lt-LT"/>
          </w:rPr>
          <w:t>https://osp.stat.gov.lt/documents/10180/130368/Metodika_2016_149.pdf</w:t>
        </w:r>
      </w:hyperlink>
      <w:r w:rsidRPr="007D4297">
        <w:rPr>
          <w:lang w:val="lt-LT"/>
        </w:rPr>
        <w:t xml:space="preserve"> </w:t>
      </w:r>
    </w:p>
  </w:footnote>
  <w:footnote w:id="4">
    <w:p w14:paraId="58315416" w14:textId="4BCB791C"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3" w:history="1">
        <w:r w:rsidRPr="007D4297">
          <w:rPr>
            <w:rStyle w:val="Hyperlink"/>
            <w:lang w:val="lt-LT"/>
          </w:rPr>
          <w:t>https://osp.stat.gov.lt/documents/10180/130368/Metodika_2016_149.pdf</w:t>
        </w:r>
      </w:hyperlink>
      <w:r w:rsidRPr="007D4297">
        <w:rPr>
          <w:rStyle w:val="Hyperlink"/>
          <w:lang w:val="lt-LT"/>
        </w:rPr>
        <w:t xml:space="preserve"> </w:t>
      </w:r>
    </w:p>
  </w:footnote>
  <w:footnote w:id="5">
    <w:p w14:paraId="7B39BE91" w14:textId="1724893A"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 w:history="1">
        <w:r w:rsidRPr="007D4297">
          <w:rPr>
            <w:rStyle w:val="Hyperlink"/>
            <w:lang w:val="lt-LT"/>
          </w:rPr>
          <w:t>https://osp.stat.gov.lt/documents/10180/0/gyventoju+skaicius_metainfo</w:t>
        </w:r>
      </w:hyperlink>
      <w:r w:rsidRPr="007D4297">
        <w:rPr>
          <w:lang w:val="lt-LT"/>
        </w:rPr>
        <w:t xml:space="preserve"> </w:t>
      </w:r>
    </w:p>
  </w:footnote>
  <w:footnote w:id="6">
    <w:p w14:paraId="23F796ED" w14:textId="5AB2C64C"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5" w:history="1">
        <w:r w:rsidRPr="007D4297">
          <w:rPr>
            <w:rStyle w:val="Hyperlink"/>
            <w:lang w:val="lt-LT"/>
          </w:rPr>
          <w:t>https://osp.stat.gov.lt/documents/10180/0/gyventoju+skaicius_metainfo</w:t>
        </w:r>
      </w:hyperlink>
      <w:r w:rsidRPr="007D4297">
        <w:rPr>
          <w:lang w:val="lt-LT"/>
        </w:rPr>
        <w:t xml:space="preserve"> </w:t>
      </w:r>
    </w:p>
  </w:footnote>
  <w:footnote w:id="7">
    <w:p w14:paraId="15D044BE" w14:textId="1E0B387E"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6" w:history="1">
        <w:r w:rsidRPr="007D4297">
          <w:rPr>
            <w:rStyle w:val="Hyperlink"/>
            <w:lang w:val="lt-LT"/>
          </w:rPr>
          <w:t>http://www.searo.who.int/entity/health_situation_trends/data/chi/sex-ratio/en/</w:t>
        </w:r>
      </w:hyperlink>
      <w:r w:rsidRPr="007D4297">
        <w:rPr>
          <w:lang w:val="lt-LT"/>
        </w:rPr>
        <w:t xml:space="preserve"> </w:t>
      </w:r>
    </w:p>
  </w:footnote>
  <w:footnote w:id="8">
    <w:p w14:paraId="7A821BF2" w14:textId="42B6024F"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7" w:history="1">
        <w:r w:rsidRPr="007D4297">
          <w:rPr>
            <w:rStyle w:val="Hyperlink"/>
            <w:lang w:val="lt-LT"/>
          </w:rPr>
          <w:t>https://osp.stat.gov.lt/services-portlet/pub-edition-file?id=27100</w:t>
        </w:r>
      </w:hyperlink>
      <w:r w:rsidRPr="007D4297">
        <w:rPr>
          <w:lang w:val="lt-LT"/>
        </w:rPr>
        <w:t xml:space="preserve"> </w:t>
      </w:r>
    </w:p>
  </w:footnote>
  <w:footnote w:id="9">
    <w:p w14:paraId="11C3DAC0" w14:textId="57E64F62" w:rsidR="00400FFF" w:rsidRPr="00395B3A" w:rsidRDefault="00400FFF">
      <w:pPr>
        <w:pStyle w:val="FootnoteText"/>
        <w:rPr>
          <w:lang w:val="lt-LT"/>
        </w:rPr>
      </w:pPr>
      <w:r>
        <w:rPr>
          <w:rStyle w:val="FootnoteReference"/>
        </w:rPr>
        <w:footnoteRef/>
      </w:r>
      <w:r w:rsidRPr="00395B3A">
        <w:rPr>
          <w:lang w:val="lt-LT"/>
        </w:rPr>
        <w:t xml:space="preserve"> </w:t>
      </w:r>
      <w:r>
        <w:rPr>
          <w:lang w:val="lt-LT"/>
        </w:rPr>
        <w:t>Čia ir toliau tekste rodiklio būsena žymima „Dalinai skelbiama“, jei tik dalis statistinių duomenų yra skelbiami (prieinami visuomenei) oficialiąją statistiką tvarkančių institucijų portaluose, pavyzdžiui, trūksta lyties ar savivaldybių dimensijos, situacijos savivaldybėse palyginimui netinkama rodiklio išraiška (pateikiami tik absoliutūs skaičiai), etc.</w:t>
      </w:r>
    </w:p>
  </w:footnote>
  <w:footnote w:id="10">
    <w:p w14:paraId="693D6ED9"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8" w:history="1">
        <w:r w:rsidRPr="007D4297">
          <w:rPr>
            <w:rStyle w:val="Hyperlink"/>
            <w:lang w:val="lt-LT"/>
          </w:rPr>
          <w:t>http://www.rosavzw.be/digidocs/dd-001417_2016_Gender_Age_Migration_IDS.pdf</w:t>
        </w:r>
      </w:hyperlink>
      <w:r w:rsidRPr="007D4297">
        <w:rPr>
          <w:lang w:val="lt-LT"/>
        </w:rPr>
        <w:t xml:space="preserve"> </w:t>
      </w:r>
    </w:p>
  </w:footnote>
  <w:footnote w:id="11">
    <w:p w14:paraId="136505A1" w14:textId="77B66D14"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9" w:history="1">
        <w:r w:rsidRPr="007D4297">
          <w:rPr>
            <w:rStyle w:val="Hyperlink"/>
            <w:lang w:val="lt-LT"/>
          </w:rPr>
          <w:t>https://data.oecd.org/healthstat/life-expectancy-at-birth.htm</w:t>
        </w:r>
      </w:hyperlink>
      <w:r w:rsidRPr="007D4297">
        <w:rPr>
          <w:lang w:val="lt-LT"/>
        </w:rPr>
        <w:t xml:space="preserve"> </w:t>
      </w:r>
    </w:p>
  </w:footnote>
  <w:footnote w:id="12">
    <w:p w14:paraId="09B74EC7" w14:textId="35333B76" w:rsidR="00400FFF" w:rsidRPr="007D4297" w:rsidRDefault="00400FFF">
      <w:pPr>
        <w:pStyle w:val="FootnoteText"/>
        <w:rPr>
          <w:lang w:val="lt-LT"/>
        </w:rPr>
      </w:pPr>
      <w:r w:rsidRPr="007D4297">
        <w:rPr>
          <w:rStyle w:val="FootnoteReference"/>
          <w:lang w:val="lt-LT"/>
        </w:rPr>
        <w:footnoteRef/>
      </w:r>
      <w:r w:rsidRPr="007D4297">
        <w:rPr>
          <w:lang w:val="lt-LT"/>
        </w:rPr>
        <w:t xml:space="preserve"> </w:t>
      </w:r>
      <w:proofErr w:type="spellStart"/>
      <w:r w:rsidRPr="007D4297">
        <w:rPr>
          <w:i/>
          <w:lang w:val="lt-LT"/>
        </w:rPr>
        <w:t>Gender</w:t>
      </w:r>
      <w:proofErr w:type="spellEnd"/>
      <w:r w:rsidRPr="007D4297">
        <w:rPr>
          <w:i/>
          <w:lang w:val="lt-LT"/>
        </w:rPr>
        <w:t xml:space="preserve"> Equality </w:t>
      </w:r>
      <w:proofErr w:type="spellStart"/>
      <w:r w:rsidRPr="007D4297">
        <w:rPr>
          <w:i/>
          <w:lang w:val="lt-LT"/>
        </w:rPr>
        <w:t>Index</w:t>
      </w:r>
      <w:proofErr w:type="spellEnd"/>
      <w:r w:rsidRPr="007D4297">
        <w:rPr>
          <w:i/>
          <w:lang w:val="lt-LT"/>
        </w:rPr>
        <w:t xml:space="preserve"> 2017: </w:t>
      </w:r>
      <w:proofErr w:type="spellStart"/>
      <w:r w:rsidRPr="007D4297">
        <w:rPr>
          <w:i/>
          <w:lang w:val="lt-LT"/>
        </w:rPr>
        <w:t>Measuring</w:t>
      </w:r>
      <w:proofErr w:type="spellEnd"/>
      <w:r w:rsidRPr="007D4297">
        <w:rPr>
          <w:i/>
          <w:lang w:val="lt-LT"/>
        </w:rPr>
        <w:t xml:space="preserve"> </w:t>
      </w:r>
      <w:proofErr w:type="spellStart"/>
      <w:r w:rsidRPr="007D4297">
        <w:rPr>
          <w:i/>
          <w:lang w:val="lt-LT"/>
        </w:rPr>
        <w:t>gender</w:t>
      </w:r>
      <w:proofErr w:type="spellEnd"/>
      <w:r w:rsidRPr="007D4297">
        <w:rPr>
          <w:i/>
          <w:lang w:val="lt-LT"/>
        </w:rPr>
        <w:t xml:space="preserve"> </w:t>
      </w:r>
      <w:proofErr w:type="spellStart"/>
      <w:r w:rsidRPr="007D4297">
        <w:rPr>
          <w:i/>
          <w:lang w:val="lt-LT"/>
        </w:rPr>
        <w:t>equality</w:t>
      </w:r>
      <w:proofErr w:type="spellEnd"/>
      <w:r w:rsidRPr="007D4297">
        <w:rPr>
          <w:i/>
          <w:lang w:val="lt-LT"/>
        </w:rPr>
        <w:t xml:space="preserve"> </w:t>
      </w:r>
      <w:proofErr w:type="spellStart"/>
      <w:r w:rsidRPr="007D4297">
        <w:rPr>
          <w:i/>
          <w:lang w:val="lt-LT"/>
        </w:rPr>
        <w:t>in</w:t>
      </w:r>
      <w:proofErr w:type="spellEnd"/>
      <w:r w:rsidRPr="007D4297">
        <w:rPr>
          <w:i/>
          <w:lang w:val="lt-LT"/>
        </w:rPr>
        <w:t xml:space="preserve"> </w:t>
      </w:r>
      <w:proofErr w:type="spellStart"/>
      <w:r w:rsidRPr="007D4297">
        <w:rPr>
          <w:i/>
          <w:lang w:val="lt-LT"/>
        </w:rPr>
        <w:t>the</w:t>
      </w:r>
      <w:proofErr w:type="spellEnd"/>
      <w:r w:rsidRPr="007D4297">
        <w:rPr>
          <w:i/>
          <w:lang w:val="lt-LT"/>
        </w:rPr>
        <w:t xml:space="preserve"> </w:t>
      </w:r>
      <w:proofErr w:type="spellStart"/>
      <w:r w:rsidRPr="007D4297">
        <w:rPr>
          <w:i/>
          <w:lang w:val="lt-LT"/>
        </w:rPr>
        <w:t>European</w:t>
      </w:r>
      <w:proofErr w:type="spellEnd"/>
      <w:r w:rsidRPr="007D4297">
        <w:rPr>
          <w:i/>
          <w:lang w:val="lt-LT"/>
        </w:rPr>
        <w:t xml:space="preserve"> </w:t>
      </w:r>
      <w:proofErr w:type="spellStart"/>
      <w:r w:rsidRPr="007D4297">
        <w:rPr>
          <w:i/>
          <w:lang w:val="lt-LT"/>
        </w:rPr>
        <w:t>Union</w:t>
      </w:r>
      <w:proofErr w:type="spellEnd"/>
      <w:r w:rsidRPr="007D4297">
        <w:rPr>
          <w:i/>
          <w:lang w:val="lt-LT"/>
        </w:rPr>
        <w:t xml:space="preserve"> 2005-2015</w:t>
      </w:r>
      <w:r w:rsidRPr="007D4297">
        <w:rPr>
          <w:lang w:val="lt-LT"/>
        </w:rPr>
        <w:t xml:space="preserve"> – </w:t>
      </w:r>
      <w:proofErr w:type="spellStart"/>
      <w:r w:rsidRPr="007D4297">
        <w:rPr>
          <w:lang w:val="lt-LT"/>
        </w:rPr>
        <w:t>Report</w:t>
      </w:r>
      <w:proofErr w:type="spellEnd"/>
    </w:p>
  </w:footnote>
  <w:footnote w:id="13">
    <w:p w14:paraId="213A854B" w14:textId="3345CA1F"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10" w:history="1">
        <w:r w:rsidRPr="007D4297">
          <w:rPr>
            <w:rStyle w:val="Hyperlink"/>
            <w:lang w:val="lt-LT"/>
          </w:rPr>
          <w:t>https://osp.stat.gov.lt/documents/10180/1468200/Vid_tiketinos_gyv_trukmes_RKA_2012.pdf/87d68529-95f4-4d48-9f32-15befa485dad</w:t>
        </w:r>
      </w:hyperlink>
      <w:r w:rsidRPr="007D4297">
        <w:rPr>
          <w:lang w:val="lt-LT"/>
        </w:rPr>
        <w:t xml:space="preserve"> </w:t>
      </w:r>
    </w:p>
  </w:footnote>
  <w:footnote w:id="14">
    <w:p w14:paraId="53C51990" w14:textId="0563A330" w:rsidR="00400FFF" w:rsidRPr="007D4297" w:rsidRDefault="00400FFF">
      <w:pPr>
        <w:pStyle w:val="FootnoteText"/>
        <w:rPr>
          <w:lang w:val="lt-LT"/>
        </w:rPr>
      </w:pPr>
      <w:r w:rsidRPr="007D4297">
        <w:rPr>
          <w:rStyle w:val="FootnoteReference"/>
          <w:lang w:val="lt-LT"/>
        </w:rPr>
        <w:footnoteRef/>
      </w:r>
      <w:r w:rsidRPr="007D4297">
        <w:rPr>
          <w:lang w:val="lt-LT"/>
        </w:rPr>
        <w:t xml:space="preserve"> </w:t>
      </w:r>
      <w:proofErr w:type="spellStart"/>
      <w:r w:rsidRPr="007D4297">
        <w:rPr>
          <w:lang w:val="lt-LT"/>
        </w:rPr>
        <w:t>Rizzo</w:t>
      </w:r>
      <w:proofErr w:type="spellEnd"/>
      <w:r w:rsidRPr="007D4297">
        <w:rPr>
          <w:lang w:val="lt-LT"/>
        </w:rPr>
        <w:t xml:space="preserve">, H.M., 2014. </w:t>
      </w:r>
      <w:proofErr w:type="spellStart"/>
      <w:r w:rsidRPr="007D4297">
        <w:rPr>
          <w:lang w:val="lt-LT"/>
        </w:rPr>
        <w:t>Adolescent</w:t>
      </w:r>
      <w:proofErr w:type="spellEnd"/>
      <w:r w:rsidRPr="007D4297">
        <w:rPr>
          <w:lang w:val="lt-LT"/>
        </w:rPr>
        <w:t xml:space="preserve"> </w:t>
      </w:r>
      <w:proofErr w:type="spellStart"/>
      <w:r w:rsidRPr="007D4297">
        <w:rPr>
          <w:lang w:val="lt-LT"/>
        </w:rPr>
        <w:t>Fertility</w:t>
      </w:r>
      <w:proofErr w:type="spellEnd"/>
      <w:r w:rsidRPr="007D4297">
        <w:rPr>
          <w:lang w:val="lt-LT"/>
        </w:rPr>
        <w:t xml:space="preserve"> </w:t>
      </w:r>
      <w:proofErr w:type="spellStart"/>
      <w:r w:rsidRPr="007D4297">
        <w:rPr>
          <w:lang w:val="lt-LT"/>
        </w:rPr>
        <w:t>and</w:t>
      </w:r>
      <w:proofErr w:type="spellEnd"/>
      <w:r w:rsidRPr="007D4297">
        <w:rPr>
          <w:lang w:val="lt-LT"/>
        </w:rPr>
        <w:t xml:space="preserve"> </w:t>
      </w:r>
      <w:proofErr w:type="spellStart"/>
      <w:r w:rsidRPr="007D4297">
        <w:rPr>
          <w:lang w:val="lt-LT"/>
        </w:rPr>
        <w:t>Early</w:t>
      </w:r>
      <w:proofErr w:type="spellEnd"/>
      <w:r w:rsidRPr="007D4297">
        <w:rPr>
          <w:lang w:val="lt-LT"/>
        </w:rPr>
        <w:t xml:space="preserve"> </w:t>
      </w:r>
      <w:proofErr w:type="spellStart"/>
      <w:r w:rsidRPr="007D4297">
        <w:rPr>
          <w:lang w:val="lt-LT"/>
        </w:rPr>
        <w:t>Marriage</w:t>
      </w:r>
      <w:proofErr w:type="spellEnd"/>
      <w:r w:rsidRPr="007D4297">
        <w:rPr>
          <w:lang w:val="lt-LT"/>
        </w:rPr>
        <w:t xml:space="preserve">. </w:t>
      </w:r>
      <w:proofErr w:type="spellStart"/>
      <w:r w:rsidRPr="007D4297">
        <w:rPr>
          <w:lang w:val="lt-LT"/>
        </w:rPr>
        <w:t>In</w:t>
      </w:r>
      <w:proofErr w:type="spellEnd"/>
      <w:r w:rsidRPr="007D4297">
        <w:rPr>
          <w:lang w:val="lt-LT"/>
        </w:rPr>
        <w:t xml:space="preserve">: W. C. </w:t>
      </w:r>
      <w:proofErr w:type="spellStart"/>
      <w:r w:rsidRPr="007D4297">
        <w:rPr>
          <w:lang w:val="lt-LT"/>
        </w:rPr>
        <w:t>Cockerham</w:t>
      </w:r>
      <w:proofErr w:type="spellEnd"/>
      <w:r w:rsidRPr="007D4297">
        <w:rPr>
          <w:lang w:val="lt-LT"/>
        </w:rPr>
        <w:t xml:space="preserve">, R. </w:t>
      </w:r>
      <w:proofErr w:type="spellStart"/>
      <w:r w:rsidRPr="007D4297">
        <w:rPr>
          <w:lang w:val="lt-LT"/>
        </w:rPr>
        <w:t>Dingwall</w:t>
      </w:r>
      <w:proofErr w:type="spellEnd"/>
      <w:r w:rsidRPr="007D4297">
        <w:rPr>
          <w:lang w:val="lt-LT"/>
        </w:rPr>
        <w:t xml:space="preserve">, </w:t>
      </w:r>
      <w:proofErr w:type="spellStart"/>
      <w:r w:rsidRPr="007D4297">
        <w:rPr>
          <w:lang w:val="lt-LT"/>
        </w:rPr>
        <w:t>and</w:t>
      </w:r>
      <w:proofErr w:type="spellEnd"/>
      <w:r w:rsidRPr="007D4297">
        <w:rPr>
          <w:lang w:val="lt-LT"/>
        </w:rPr>
        <w:t xml:space="preserve"> S. R. </w:t>
      </w:r>
      <w:proofErr w:type="spellStart"/>
      <w:r w:rsidRPr="007D4297">
        <w:rPr>
          <w:lang w:val="lt-LT"/>
        </w:rPr>
        <w:t>Quah</w:t>
      </w:r>
      <w:proofErr w:type="spellEnd"/>
      <w:r w:rsidRPr="007D4297">
        <w:rPr>
          <w:lang w:val="lt-LT"/>
        </w:rPr>
        <w:t xml:space="preserve">, </w:t>
      </w:r>
      <w:proofErr w:type="spellStart"/>
      <w:r w:rsidRPr="007D4297">
        <w:rPr>
          <w:lang w:val="lt-LT"/>
        </w:rPr>
        <w:t>eds</w:t>
      </w:r>
      <w:proofErr w:type="spellEnd"/>
      <w:r w:rsidRPr="007D4297">
        <w:rPr>
          <w:lang w:val="lt-LT"/>
        </w:rPr>
        <w:t>.,</w:t>
      </w:r>
      <w:r w:rsidRPr="007D4297">
        <w:rPr>
          <w:i/>
          <w:iCs/>
          <w:lang w:val="lt-LT"/>
        </w:rPr>
        <w:t xml:space="preserve"> </w:t>
      </w:r>
      <w:proofErr w:type="spellStart"/>
      <w:r w:rsidRPr="007D4297">
        <w:rPr>
          <w:i/>
          <w:iCs/>
          <w:lang w:val="lt-LT"/>
        </w:rPr>
        <w:t>The</w:t>
      </w:r>
      <w:proofErr w:type="spellEnd"/>
      <w:r w:rsidRPr="007D4297">
        <w:rPr>
          <w:i/>
          <w:iCs/>
          <w:lang w:val="lt-LT"/>
        </w:rPr>
        <w:t xml:space="preserve"> </w:t>
      </w:r>
      <w:proofErr w:type="spellStart"/>
      <w:r w:rsidRPr="007D4297">
        <w:rPr>
          <w:i/>
          <w:iCs/>
          <w:lang w:val="lt-LT"/>
        </w:rPr>
        <w:t>Wiley</w:t>
      </w:r>
      <w:proofErr w:type="spellEnd"/>
      <w:r w:rsidRPr="007D4297">
        <w:rPr>
          <w:i/>
          <w:iCs/>
          <w:lang w:val="lt-LT"/>
        </w:rPr>
        <w:t xml:space="preserve"> </w:t>
      </w:r>
      <w:proofErr w:type="spellStart"/>
      <w:r w:rsidRPr="007D4297">
        <w:rPr>
          <w:i/>
          <w:iCs/>
          <w:lang w:val="lt-LT"/>
        </w:rPr>
        <w:t>Blackwell</w:t>
      </w:r>
      <w:proofErr w:type="spellEnd"/>
      <w:r w:rsidRPr="007D4297">
        <w:rPr>
          <w:i/>
          <w:iCs/>
          <w:lang w:val="lt-LT"/>
        </w:rPr>
        <w:t xml:space="preserve"> </w:t>
      </w:r>
      <w:proofErr w:type="spellStart"/>
      <w:r w:rsidRPr="007D4297">
        <w:rPr>
          <w:i/>
          <w:iCs/>
          <w:lang w:val="lt-LT"/>
        </w:rPr>
        <w:t>Encyclopedia</w:t>
      </w:r>
      <w:proofErr w:type="spellEnd"/>
      <w:r w:rsidRPr="007D4297">
        <w:rPr>
          <w:i/>
          <w:iCs/>
          <w:lang w:val="lt-LT"/>
        </w:rPr>
        <w:t xml:space="preserve"> </w:t>
      </w:r>
      <w:proofErr w:type="spellStart"/>
      <w:r w:rsidRPr="007D4297">
        <w:rPr>
          <w:i/>
          <w:iCs/>
          <w:lang w:val="lt-LT"/>
        </w:rPr>
        <w:t>of</w:t>
      </w:r>
      <w:proofErr w:type="spellEnd"/>
      <w:r w:rsidRPr="007D4297">
        <w:rPr>
          <w:i/>
          <w:iCs/>
          <w:lang w:val="lt-LT"/>
        </w:rPr>
        <w:t xml:space="preserve"> </w:t>
      </w:r>
      <w:proofErr w:type="spellStart"/>
      <w:r w:rsidRPr="007D4297">
        <w:rPr>
          <w:i/>
          <w:iCs/>
          <w:lang w:val="lt-LT"/>
        </w:rPr>
        <w:t>Health</w:t>
      </w:r>
      <w:proofErr w:type="spellEnd"/>
      <w:r w:rsidRPr="007D4297">
        <w:rPr>
          <w:i/>
          <w:iCs/>
          <w:lang w:val="lt-LT"/>
        </w:rPr>
        <w:t xml:space="preserve">, </w:t>
      </w:r>
      <w:proofErr w:type="spellStart"/>
      <w:r w:rsidRPr="007D4297">
        <w:rPr>
          <w:i/>
          <w:iCs/>
          <w:lang w:val="lt-LT"/>
        </w:rPr>
        <w:t>Illness</w:t>
      </w:r>
      <w:proofErr w:type="spellEnd"/>
      <w:r w:rsidRPr="007D4297">
        <w:rPr>
          <w:i/>
          <w:iCs/>
          <w:lang w:val="lt-LT"/>
        </w:rPr>
        <w:t xml:space="preserve">, </w:t>
      </w:r>
      <w:proofErr w:type="spellStart"/>
      <w:r w:rsidRPr="007D4297">
        <w:rPr>
          <w:i/>
          <w:iCs/>
          <w:lang w:val="lt-LT"/>
        </w:rPr>
        <w:t>Behavior</w:t>
      </w:r>
      <w:proofErr w:type="spellEnd"/>
      <w:r w:rsidRPr="007D4297">
        <w:rPr>
          <w:i/>
          <w:iCs/>
          <w:lang w:val="lt-LT"/>
        </w:rPr>
        <w:t xml:space="preserve">, </w:t>
      </w:r>
      <w:proofErr w:type="spellStart"/>
      <w:r w:rsidRPr="007D4297">
        <w:rPr>
          <w:i/>
          <w:iCs/>
          <w:lang w:val="lt-LT"/>
        </w:rPr>
        <w:t>and</w:t>
      </w:r>
      <w:proofErr w:type="spellEnd"/>
      <w:r w:rsidRPr="007D4297">
        <w:rPr>
          <w:i/>
          <w:iCs/>
          <w:lang w:val="lt-LT"/>
        </w:rPr>
        <w:t xml:space="preserve"> Society</w:t>
      </w:r>
      <w:r w:rsidRPr="007D4297">
        <w:rPr>
          <w:lang w:val="lt-LT"/>
        </w:rPr>
        <w:t>, 1</w:t>
      </w:r>
      <w:r w:rsidRPr="007D4297">
        <w:rPr>
          <w:vertAlign w:val="superscript"/>
          <w:lang w:val="lt-LT"/>
        </w:rPr>
        <w:t>st</w:t>
      </w:r>
      <w:r w:rsidRPr="007D4297">
        <w:rPr>
          <w:lang w:val="lt-LT"/>
        </w:rPr>
        <w:t xml:space="preserve"> </w:t>
      </w:r>
      <w:proofErr w:type="spellStart"/>
      <w:r w:rsidRPr="007D4297">
        <w:rPr>
          <w:lang w:val="lt-LT"/>
        </w:rPr>
        <w:t>edition</w:t>
      </w:r>
      <w:proofErr w:type="spellEnd"/>
      <w:r w:rsidRPr="007D4297">
        <w:rPr>
          <w:lang w:val="lt-LT"/>
        </w:rPr>
        <w:t xml:space="preserve">, </w:t>
      </w:r>
      <w:proofErr w:type="spellStart"/>
      <w:r w:rsidRPr="007D4297">
        <w:rPr>
          <w:lang w:val="lt-LT"/>
        </w:rPr>
        <w:t>Chicester</w:t>
      </w:r>
      <w:proofErr w:type="spellEnd"/>
      <w:r w:rsidRPr="007D4297">
        <w:rPr>
          <w:lang w:val="lt-LT"/>
        </w:rPr>
        <w:t xml:space="preserve">: </w:t>
      </w:r>
      <w:proofErr w:type="spellStart"/>
      <w:r w:rsidRPr="007D4297">
        <w:rPr>
          <w:lang w:val="lt-LT"/>
        </w:rPr>
        <w:t>John</w:t>
      </w:r>
      <w:proofErr w:type="spellEnd"/>
      <w:r w:rsidRPr="007D4297">
        <w:rPr>
          <w:lang w:val="lt-LT"/>
        </w:rPr>
        <w:t xml:space="preserve"> </w:t>
      </w:r>
      <w:proofErr w:type="spellStart"/>
      <w:r w:rsidRPr="007D4297">
        <w:rPr>
          <w:lang w:val="lt-LT"/>
        </w:rPr>
        <w:t>Wiley</w:t>
      </w:r>
      <w:proofErr w:type="spellEnd"/>
      <w:r w:rsidRPr="007D4297">
        <w:rPr>
          <w:lang w:val="lt-LT"/>
        </w:rPr>
        <w:t xml:space="preserve"> &amp; </w:t>
      </w:r>
      <w:proofErr w:type="spellStart"/>
      <w:r w:rsidRPr="007D4297">
        <w:rPr>
          <w:lang w:val="lt-LT"/>
        </w:rPr>
        <w:t>Sons</w:t>
      </w:r>
      <w:proofErr w:type="spellEnd"/>
      <w:r w:rsidRPr="007D4297">
        <w:rPr>
          <w:lang w:val="lt-LT"/>
        </w:rPr>
        <w:t xml:space="preserve">, Ltd., p. 15–18. </w:t>
      </w:r>
    </w:p>
  </w:footnote>
  <w:footnote w:id="15">
    <w:p w14:paraId="7971614A" w14:textId="4DB83DDE"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11" w:history="1">
        <w:r w:rsidRPr="007D4297">
          <w:rPr>
            <w:rStyle w:val="Hyperlink"/>
            <w:lang w:val="lt-LT"/>
          </w:rPr>
          <w:t>https://www.unfpa.org/sites/default/files/pub-pdf/EN-SWOP2013.pdf</w:t>
        </w:r>
      </w:hyperlink>
      <w:r w:rsidRPr="007D4297">
        <w:rPr>
          <w:lang w:val="lt-LT"/>
        </w:rPr>
        <w:t xml:space="preserve"> </w:t>
      </w:r>
    </w:p>
  </w:footnote>
  <w:footnote w:id="16">
    <w:p w14:paraId="3D26B42A" w14:textId="77777777" w:rsidR="00400FFF" w:rsidRPr="007D4297" w:rsidRDefault="00400FFF" w:rsidP="009E3BA1">
      <w:pPr>
        <w:ind w:left="432" w:hanging="432"/>
        <w:jc w:val="both"/>
        <w:rPr>
          <w:rFonts w:ascii="Palatino Linotype" w:hAnsi="Palatino Linotype"/>
          <w:sz w:val="20"/>
          <w:szCs w:val="20"/>
          <w:lang w:val="lt-LT"/>
        </w:rPr>
      </w:pPr>
      <w:r w:rsidRPr="007D4297">
        <w:rPr>
          <w:rStyle w:val="FootnoteReference"/>
          <w:lang w:val="lt-LT"/>
        </w:rPr>
        <w:footnoteRef/>
      </w:r>
      <w:r w:rsidRPr="007D4297">
        <w:rPr>
          <w:lang w:val="lt-LT"/>
        </w:rPr>
        <w:t xml:space="preserve"> </w:t>
      </w:r>
      <w:proofErr w:type="spellStart"/>
      <w:r w:rsidRPr="007D4297">
        <w:rPr>
          <w:sz w:val="20"/>
          <w:szCs w:val="20"/>
          <w:lang w:val="lt-LT"/>
        </w:rPr>
        <w:t>Gilbert</w:t>
      </w:r>
      <w:proofErr w:type="spellEnd"/>
      <w:r w:rsidRPr="007D4297">
        <w:rPr>
          <w:sz w:val="20"/>
          <w:szCs w:val="20"/>
          <w:lang w:val="lt-LT"/>
        </w:rPr>
        <w:t xml:space="preserve">, W., </w:t>
      </w:r>
      <w:proofErr w:type="spellStart"/>
      <w:r w:rsidRPr="007D4297">
        <w:rPr>
          <w:sz w:val="20"/>
          <w:szCs w:val="20"/>
          <w:lang w:val="lt-LT"/>
        </w:rPr>
        <w:t>Jandial</w:t>
      </w:r>
      <w:proofErr w:type="spellEnd"/>
      <w:r w:rsidRPr="007D4297">
        <w:rPr>
          <w:sz w:val="20"/>
          <w:szCs w:val="20"/>
          <w:lang w:val="lt-LT"/>
        </w:rPr>
        <w:t xml:space="preserve">, D., </w:t>
      </w:r>
      <w:proofErr w:type="spellStart"/>
      <w:r w:rsidRPr="007D4297">
        <w:rPr>
          <w:sz w:val="20"/>
          <w:szCs w:val="20"/>
          <w:lang w:val="lt-LT"/>
        </w:rPr>
        <w:t>Field</w:t>
      </w:r>
      <w:proofErr w:type="spellEnd"/>
      <w:r w:rsidRPr="007D4297">
        <w:rPr>
          <w:sz w:val="20"/>
          <w:szCs w:val="20"/>
          <w:lang w:val="lt-LT"/>
        </w:rPr>
        <w:t xml:space="preserve">, N., </w:t>
      </w:r>
      <w:proofErr w:type="spellStart"/>
      <w:r w:rsidRPr="007D4297">
        <w:rPr>
          <w:sz w:val="20"/>
          <w:szCs w:val="20"/>
          <w:lang w:val="lt-LT"/>
        </w:rPr>
        <w:t>Bigelow</w:t>
      </w:r>
      <w:proofErr w:type="spellEnd"/>
      <w:r w:rsidRPr="007D4297">
        <w:rPr>
          <w:sz w:val="20"/>
          <w:szCs w:val="20"/>
          <w:lang w:val="lt-LT"/>
        </w:rPr>
        <w:t xml:space="preserve">, P., </w:t>
      </w:r>
      <w:proofErr w:type="spellStart"/>
      <w:r w:rsidRPr="007D4297">
        <w:rPr>
          <w:sz w:val="20"/>
          <w:szCs w:val="20"/>
          <w:lang w:val="lt-LT"/>
        </w:rPr>
        <w:t>Danielsen</w:t>
      </w:r>
      <w:proofErr w:type="spellEnd"/>
      <w:r w:rsidRPr="007D4297">
        <w:rPr>
          <w:sz w:val="20"/>
          <w:szCs w:val="20"/>
          <w:lang w:val="lt-LT"/>
        </w:rPr>
        <w:t xml:space="preserve">, B., 2004. </w:t>
      </w:r>
      <w:proofErr w:type="spellStart"/>
      <w:r w:rsidRPr="007D4297">
        <w:rPr>
          <w:sz w:val="20"/>
          <w:szCs w:val="20"/>
          <w:lang w:val="lt-LT"/>
        </w:rPr>
        <w:t>Birth</w:t>
      </w:r>
      <w:proofErr w:type="spellEnd"/>
      <w:r w:rsidRPr="007D4297">
        <w:rPr>
          <w:sz w:val="20"/>
          <w:szCs w:val="20"/>
          <w:lang w:val="lt-LT"/>
        </w:rPr>
        <w:t xml:space="preserve"> </w:t>
      </w:r>
      <w:proofErr w:type="spellStart"/>
      <w:r w:rsidRPr="007D4297">
        <w:rPr>
          <w:sz w:val="20"/>
          <w:szCs w:val="20"/>
          <w:lang w:val="lt-LT"/>
        </w:rPr>
        <w:t>outcomes</w:t>
      </w:r>
      <w:proofErr w:type="spellEnd"/>
      <w:r w:rsidRPr="007D4297">
        <w:rPr>
          <w:sz w:val="20"/>
          <w:szCs w:val="20"/>
          <w:lang w:val="lt-LT"/>
        </w:rPr>
        <w:t xml:space="preserve"> </w:t>
      </w:r>
      <w:proofErr w:type="spellStart"/>
      <w:r w:rsidRPr="007D4297">
        <w:rPr>
          <w:sz w:val="20"/>
          <w:szCs w:val="20"/>
          <w:lang w:val="lt-LT"/>
        </w:rPr>
        <w:t>in</w:t>
      </w:r>
      <w:proofErr w:type="spellEnd"/>
      <w:r w:rsidRPr="007D4297">
        <w:rPr>
          <w:sz w:val="20"/>
          <w:szCs w:val="20"/>
          <w:lang w:val="lt-LT"/>
        </w:rPr>
        <w:t xml:space="preserve"> </w:t>
      </w:r>
      <w:proofErr w:type="spellStart"/>
      <w:r w:rsidRPr="007D4297">
        <w:rPr>
          <w:sz w:val="20"/>
          <w:szCs w:val="20"/>
          <w:lang w:val="lt-LT"/>
        </w:rPr>
        <w:t>teenage</w:t>
      </w:r>
      <w:proofErr w:type="spellEnd"/>
      <w:r w:rsidRPr="007D4297">
        <w:rPr>
          <w:sz w:val="20"/>
          <w:szCs w:val="20"/>
          <w:lang w:val="lt-LT"/>
        </w:rPr>
        <w:t xml:space="preserve"> </w:t>
      </w:r>
      <w:proofErr w:type="spellStart"/>
      <w:r w:rsidRPr="007D4297">
        <w:rPr>
          <w:sz w:val="20"/>
          <w:szCs w:val="20"/>
          <w:lang w:val="lt-LT"/>
        </w:rPr>
        <w:t>pregnancies</w:t>
      </w:r>
      <w:proofErr w:type="spellEnd"/>
      <w:r w:rsidRPr="007D4297">
        <w:rPr>
          <w:sz w:val="20"/>
          <w:szCs w:val="20"/>
          <w:lang w:val="lt-LT"/>
        </w:rPr>
        <w:t>. </w:t>
      </w:r>
      <w:proofErr w:type="spellStart"/>
      <w:r w:rsidRPr="007D4297">
        <w:rPr>
          <w:i/>
          <w:sz w:val="20"/>
          <w:szCs w:val="20"/>
          <w:lang w:val="lt-LT"/>
        </w:rPr>
        <w:t>Journal</w:t>
      </w:r>
      <w:proofErr w:type="spellEnd"/>
      <w:r w:rsidRPr="007D4297">
        <w:rPr>
          <w:i/>
          <w:sz w:val="20"/>
          <w:szCs w:val="20"/>
          <w:lang w:val="lt-LT"/>
        </w:rPr>
        <w:t xml:space="preserve"> </w:t>
      </w:r>
      <w:proofErr w:type="spellStart"/>
      <w:r w:rsidRPr="007D4297">
        <w:rPr>
          <w:i/>
          <w:sz w:val="20"/>
          <w:szCs w:val="20"/>
          <w:lang w:val="lt-LT"/>
        </w:rPr>
        <w:t>of</w:t>
      </w:r>
      <w:proofErr w:type="spellEnd"/>
      <w:r w:rsidRPr="007D4297">
        <w:rPr>
          <w:i/>
          <w:sz w:val="20"/>
          <w:szCs w:val="20"/>
          <w:lang w:val="lt-LT"/>
        </w:rPr>
        <w:t xml:space="preserve"> </w:t>
      </w:r>
      <w:proofErr w:type="spellStart"/>
      <w:r w:rsidRPr="007D4297">
        <w:rPr>
          <w:i/>
          <w:sz w:val="20"/>
          <w:szCs w:val="20"/>
          <w:lang w:val="lt-LT"/>
        </w:rPr>
        <w:t>Maternal-Fetal</w:t>
      </w:r>
      <w:proofErr w:type="spellEnd"/>
      <w:r w:rsidRPr="007D4297">
        <w:rPr>
          <w:i/>
          <w:sz w:val="20"/>
          <w:szCs w:val="20"/>
          <w:lang w:val="lt-LT"/>
        </w:rPr>
        <w:t xml:space="preserve"> </w:t>
      </w:r>
      <w:proofErr w:type="spellStart"/>
      <w:r w:rsidRPr="007D4297">
        <w:rPr>
          <w:i/>
          <w:sz w:val="20"/>
          <w:szCs w:val="20"/>
          <w:lang w:val="lt-LT"/>
        </w:rPr>
        <w:t>and</w:t>
      </w:r>
      <w:proofErr w:type="spellEnd"/>
      <w:r w:rsidRPr="007D4297">
        <w:rPr>
          <w:i/>
          <w:sz w:val="20"/>
          <w:szCs w:val="20"/>
          <w:lang w:val="lt-LT"/>
        </w:rPr>
        <w:t xml:space="preserve"> </w:t>
      </w:r>
      <w:proofErr w:type="spellStart"/>
      <w:r w:rsidRPr="007D4297">
        <w:rPr>
          <w:i/>
          <w:sz w:val="20"/>
          <w:szCs w:val="20"/>
          <w:lang w:val="lt-LT"/>
        </w:rPr>
        <w:t>Neonatal</w:t>
      </w:r>
      <w:proofErr w:type="spellEnd"/>
      <w:r w:rsidRPr="007D4297">
        <w:rPr>
          <w:i/>
          <w:sz w:val="20"/>
          <w:szCs w:val="20"/>
          <w:lang w:val="lt-LT"/>
        </w:rPr>
        <w:t xml:space="preserve"> </w:t>
      </w:r>
      <w:proofErr w:type="spellStart"/>
      <w:r w:rsidRPr="007D4297">
        <w:rPr>
          <w:i/>
          <w:sz w:val="20"/>
          <w:szCs w:val="20"/>
          <w:lang w:val="lt-LT"/>
        </w:rPr>
        <w:t>Medicine</w:t>
      </w:r>
      <w:proofErr w:type="spellEnd"/>
      <w:r w:rsidRPr="007D4297">
        <w:rPr>
          <w:sz w:val="20"/>
          <w:szCs w:val="20"/>
          <w:lang w:val="lt-LT"/>
        </w:rPr>
        <w:t>, 16(5), p. 265–270.</w:t>
      </w:r>
    </w:p>
    <w:p w14:paraId="51A7AFCE" w14:textId="72B24C51" w:rsidR="00400FFF" w:rsidRPr="007D4297" w:rsidRDefault="00400FFF">
      <w:pPr>
        <w:pStyle w:val="FootnoteText"/>
        <w:rPr>
          <w:lang w:val="lt-LT"/>
        </w:rPr>
      </w:pPr>
    </w:p>
  </w:footnote>
  <w:footnote w:id="17">
    <w:p w14:paraId="6DB518A2" w14:textId="3AB52E72"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12" w:history="1">
        <w:r w:rsidRPr="007D4297">
          <w:rPr>
            <w:rStyle w:val="Hyperlink"/>
            <w:szCs w:val="20"/>
            <w:lang w:val="lt-LT"/>
          </w:rPr>
          <w:t>https://www.plannedparenthood.org/files/6813/9611/7632/Reducing_Teen_Pregnancy.pdf</w:t>
        </w:r>
      </w:hyperlink>
      <w:r w:rsidRPr="007D4297">
        <w:rPr>
          <w:rStyle w:val="Hyperlink"/>
          <w:rFonts w:ascii="Palatino Linotype" w:hAnsi="Palatino Linotype"/>
          <w:szCs w:val="20"/>
          <w:lang w:val="lt-LT"/>
        </w:rPr>
        <w:t xml:space="preserve"> </w:t>
      </w:r>
    </w:p>
  </w:footnote>
  <w:footnote w:id="18">
    <w:p w14:paraId="74D27C15" w14:textId="77777777" w:rsidR="00400FFF" w:rsidRPr="007D4297" w:rsidRDefault="00400FFF" w:rsidP="00B65405">
      <w:pPr>
        <w:pStyle w:val="FootnoteText"/>
        <w:jc w:val="both"/>
        <w:rPr>
          <w:lang w:val="lt-LT"/>
        </w:rPr>
      </w:pPr>
      <w:r w:rsidRPr="007D4297">
        <w:rPr>
          <w:rStyle w:val="FootnoteReference"/>
          <w:lang w:val="lt-LT"/>
        </w:rPr>
        <w:footnoteRef/>
      </w:r>
      <w:r w:rsidRPr="007D4297">
        <w:rPr>
          <w:lang w:val="lt-LT"/>
        </w:rPr>
        <w:t xml:space="preserve"> </w:t>
      </w:r>
      <w:r w:rsidRPr="007D4297">
        <w:rPr>
          <w:szCs w:val="20"/>
          <w:lang w:val="lt-LT"/>
        </w:rPr>
        <w:t>Pasaulio sveikatos organizacija paauglystės amžiumi laiko periodą nuo 10 iki 19 metų amžiaus imtinai.</w:t>
      </w:r>
    </w:p>
  </w:footnote>
  <w:footnote w:id="19">
    <w:p w14:paraId="33DB782B" w14:textId="54087714"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13" w:history="1">
        <w:r w:rsidRPr="007D4297">
          <w:rPr>
            <w:rStyle w:val="Hyperlink"/>
            <w:lang w:val="lt-LT"/>
          </w:rPr>
          <w:t>http://www.un.org/en/development/desa/population/publications/pdf/fertility/Report_Adolescent-Fertility-since-ICPD.pdf</w:t>
        </w:r>
      </w:hyperlink>
      <w:r w:rsidRPr="007D4297">
        <w:rPr>
          <w:lang w:val="lt-LT"/>
        </w:rPr>
        <w:t xml:space="preserve"> </w:t>
      </w:r>
    </w:p>
  </w:footnote>
  <w:footnote w:id="20">
    <w:p w14:paraId="74AF99F7" w14:textId="4F134B4C"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14" w:history="1">
        <w:r w:rsidRPr="007D4297">
          <w:rPr>
            <w:rStyle w:val="Hyperlink"/>
            <w:lang w:val="lt-LT"/>
          </w:rPr>
          <w:t>http://www.un.org/millenniumgoals/2015_MDG_Report/pdf/MDG%202015%20rev%20(July%201).pdf</w:t>
        </w:r>
      </w:hyperlink>
      <w:r w:rsidRPr="007D4297">
        <w:rPr>
          <w:lang w:val="lt-LT"/>
        </w:rPr>
        <w:t xml:space="preserve"> </w:t>
      </w:r>
    </w:p>
  </w:footnote>
  <w:footnote w:id="21">
    <w:p w14:paraId="497480E8" w14:textId="2E9E2552"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15" w:history="1">
        <w:r w:rsidRPr="007D4297">
          <w:rPr>
            <w:rStyle w:val="Hyperlink"/>
            <w:lang w:val="lt-LT"/>
          </w:rPr>
          <w:t>https://www.unece.org/fileadmin/DAM/stats/publications/2015/ECE_CES_37_WEB.pdf</w:t>
        </w:r>
      </w:hyperlink>
      <w:r w:rsidRPr="007D4297">
        <w:rPr>
          <w:lang w:val="lt-LT"/>
        </w:rPr>
        <w:t xml:space="preserve"> </w:t>
      </w:r>
    </w:p>
  </w:footnote>
  <w:footnote w:id="22">
    <w:p w14:paraId="16F0D09E" w14:textId="34E56FD8"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16" w:history="1">
        <w:r w:rsidRPr="007D4297">
          <w:rPr>
            <w:rStyle w:val="Hyperlink"/>
            <w:lang w:val="lt-LT"/>
          </w:rPr>
          <w:t>http://eacea.ec.europa.eu/education/eurydice/documents/thematic_reports/120en.pdf</w:t>
        </w:r>
      </w:hyperlink>
      <w:r w:rsidRPr="007D4297">
        <w:rPr>
          <w:lang w:val="lt-LT"/>
        </w:rPr>
        <w:t xml:space="preserve"> </w:t>
      </w:r>
    </w:p>
  </w:footnote>
  <w:footnote w:id="23">
    <w:p w14:paraId="6DE4C7FF" w14:textId="4315DB2E"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17" w:history="1">
        <w:r w:rsidRPr="007D4297">
          <w:rPr>
            <w:rStyle w:val="Hyperlink"/>
            <w:lang w:val="lt-LT"/>
          </w:rPr>
          <w:t>http://eacea.ec.europa.eu/education/eurydice/documents/thematic_reports/163EN.pdf</w:t>
        </w:r>
      </w:hyperlink>
      <w:r w:rsidRPr="007D4297">
        <w:rPr>
          <w:lang w:val="lt-LT"/>
        </w:rPr>
        <w:t xml:space="preserve"> </w:t>
      </w:r>
    </w:p>
  </w:footnote>
  <w:footnote w:id="24">
    <w:p w14:paraId="47F185EF" w14:textId="77777777" w:rsidR="00400FFF" w:rsidRPr="007D4297" w:rsidRDefault="00400FFF" w:rsidP="005A0DE6">
      <w:pPr>
        <w:pStyle w:val="FootnoteText"/>
        <w:rPr>
          <w:lang w:val="lt-LT"/>
        </w:rPr>
      </w:pPr>
      <w:r w:rsidRPr="007D4297">
        <w:rPr>
          <w:rStyle w:val="FootnoteReference"/>
          <w:lang w:val="lt-LT"/>
        </w:rPr>
        <w:footnoteRef/>
      </w:r>
      <w:r w:rsidRPr="007D4297">
        <w:rPr>
          <w:lang w:val="lt-LT"/>
        </w:rPr>
        <w:t xml:space="preserve"> </w:t>
      </w:r>
      <w:hyperlink r:id="rId18" w:history="1">
        <w:r w:rsidRPr="007D4297">
          <w:rPr>
            <w:rStyle w:val="Hyperlink"/>
            <w:lang w:val="lt-LT"/>
          </w:rPr>
          <w:t>http://eacea.ec.europa.eu/education/eurydice/documents/thematic_reports/120en.pdf</w:t>
        </w:r>
      </w:hyperlink>
      <w:r w:rsidRPr="007D4297">
        <w:rPr>
          <w:lang w:val="lt-LT"/>
        </w:rPr>
        <w:t xml:space="preserve"> </w:t>
      </w:r>
    </w:p>
  </w:footnote>
  <w:footnote w:id="25">
    <w:p w14:paraId="082E7324" w14:textId="770B9CFE"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19" w:history="1">
        <w:r w:rsidRPr="007D4297">
          <w:rPr>
            <w:rStyle w:val="Hyperlink"/>
            <w:lang w:val="lt-LT"/>
          </w:rPr>
          <w:t>https://unstats.un.org/unsd/genderstatmanual/Print.aspx?Page=Educational-participation</w:t>
        </w:r>
      </w:hyperlink>
      <w:r w:rsidRPr="007D4297">
        <w:rPr>
          <w:lang w:val="lt-LT"/>
        </w:rPr>
        <w:t xml:space="preserve"> </w:t>
      </w:r>
    </w:p>
  </w:footnote>
  <w:footnote w:id="26">
    <w:p w14:paraId="6649766D" w14:textId="0C1A059A"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20" w:anchor="/" w:history="1">
        <w:r w:rsidRPr="007D4297">
          <w:rPr>
            <w:rStyle w:val="Hyperlink"/>
            <w:lang w:val="lt-LT"/>
          </w:rPr>
          <w:t>https://osp.stat.gov.lt/statistiniu-rodikliu-analize#/</w:t>
        </w:r>
      </w:hyperlink>
      <w:r w:rsidRPr="007D4297">
        <w:rPr>
          <w:lang w:val="lt-LT"/>
        </w:rPr>
        <w:t xml:space="preserve"> </w:t>
      </w:r>
    </w:p>
  </w:footnote>
  <w:footnote w:id="27">
    <w:p w14:paraId="747D9668"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21" w:history="1">
        <w:r w:rsidRPr="007D4297">
          <w:rPr>
            <w:rStyle w:val="Hyperlink"/>
            <w:lang w:val="lt-LT"/>
          </w:rPr>
          <w:t>https://osp.stat.gov.lt/documents/10180/0/nesimokantieji_metainfo/678c9484-5562-45cb-80ec-14df03083e20</w:t>
        </w:r>
      </w:hyperlink>
      <w:r w:rsidRPr="007D4297">
        <w:rPr>
          <w:lang w:val="lt-LT"/>
        </w:rPr>
        <w:t xml:space="preserve"> </w:t>
      </w:r>
    </w:p>
  </w:footnote>
  <w:footnote w:id="28">
    <w:p w14:paraId="622E238F" w14:textId="1133C35E" w:rsidR="00400FFF" w:rsidRPr="007D4297" w:rsidRDefault="00400FFF">
      <w:pPr>
        <w:pStyle w:val="FootnoteText"/>
        <w:rPr>
          <w:lang w:val="lt-LT"/>
        </w:rPr>
      </w:pPr>
      <w:r w:rsidRPr="007D4297">
        <w:rPr>
          <w:rStyle w:val="FootnoteReference"/>
          <w:lang w:val="lt-LT"/>
        </w:rPr>
        <w:footnoteRef/>
      </w:r>
      <w:hyperlink r:id="rId22" w:history="1">
        <w:r w:rsidRPr="007D4297">
          <w:rPr>
            <w:rStyle w:val="Hyperlink"/>
            <w:lang w:val="lt-LT"/>
          </w:rPr>
          <w:t>https://www.researchgate.net/publication/274707083_Contested_Gender_Equality_and_Policy_Variety_in_Europe_Introducing_a_Critical_Frame_Analysis_Approach_Mieke_Verloo_and_Emanuela_Lombardo</w:t>
        </w:r>
      </w:hyperlink>
      <w:r w:rsidRPr="007D4297">
        <w:rPr>
          <w:lang w:val="lt-LT"/>
        </w:rPr>
        <w:t xml:space="preserve"> </w:t>
      </w:r>
    </w:p>
  </w:footnote>
  <w:footnote w:id="29">
    <w:p w14:paraId="11000D9E" w14:textId="77777777" w:rsidR="00400FFF" w:rsidRPr="007D4297" w:rsidRDefault="00400FFF">
      <w:pPr>
        <w:pStyle w:val="FootnoteText"/>
        <w:rPr>
          <w:lang w:val="lt-LT"/>
        </w:rPr>
      </w:pPr>
      <w:r w:rsidRPr="007D4297">
        <w:rPr>
          <w:rStyle w:val="FootnoteReference"/>
          <w:lang w:val="lt-LT"/>
        </w:rPr>
        <w:footnoteRef/>
      </w:r>
      <w:hyperlink r:id="rId23" w:anchor="Labour_market" w:history="1">
        <w:r w:rsidRPr="007D4297">
          <w:rPr>
            <w:rStyle w:val="Hyperlink"/>
            <w:lang w:val="lt-LT"/>
          </w:rPr>
          <w:t>http://ec.europa.eu/eurostat/statistics-explained/index.php/Gender_statistics#Labour_market</w:t>
        </w:r>
      </w:hyperlink>
      <w:r w:rsidRPr="007D4297">
        <w:rPr>
          <w:lang w:val="lt-LT"/>
        </w:rPr>
        <w:t xml:space="preserve"> </w:t>
      </w:r>
    </w:p>
    <w:p w14:paraId="4A17275C" w14:textId="77777777" w:rsidR="00400FFF" w:rsidRPr="007D4297" w:rsidRDefault="00400FFF">
      <w:pPr>
        <w:pStyle w:val="FootnoteText"/>
        <w:rPr>
          <w:lang w:val="lt-LT"/>
        </w:rPr>
      </w:pPr>
      <w:r w:rsidRPr="007D4297">
        <w:rPr>
          <w:i/>
          <w:lang w:val="lt-LT"/>
        </w:rPr>
        <w:t>2016-2019 m. strateginiai įsipareigojimai užtikrinti lyčių lygybę</w:t>
      </w:r>
      <w:r w:rsidRPr="007D4297">
        <w:rPr>
          <w:lang w:val="lt-LT"/>
        </w:rPr>
        <w:t>. Europos Komisija</w:t>
      </w:r>
    </w:p>
  </w:footnote>
  <w:footnote w:id="30">
    <w:p w14:paraId="3AFA1A21" w14:textId="58E14B26"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24" w:history="1">
        <w:r w:rsidRPr="007D4297">
          <w:rPr>
            <w:rStyle w:val="Hyperlink"/>
            <w:lang w:val="lt-LT"/>
          </w:rPr>
          <w:t>https://osp.stat.gov.lt/naujienos?articleId=5428501</w:t>
        </w:r>
      </w:hyperlink>
      <w:r w:rsidRPr="007D4297">
        <w:rPr>
          <w:lang w:val="lt-LT"/>
        </w:rPr>
        <w:t xml:space="preserve"> </w:t>
      </w:r>
    </w:p>
  </w:footnote>
  <w:footnote w:id="31">
    <w:p w14:paraId="0BF6DA8C" w14:textId="7BB649C3" w:rsidR="00400FFF" w:rsidRPr="00AF096E" w:rsidRDefault="00400FFF">
      <w:pPr>
        <w:pStyle w:val="FootnoteText"/>
        <w:rPr>
          <w:lang w:val="lt-LT"/>
        </w:rPr>
      </w:pPr>
      <w:r>
        <w:rPr>
          <w:rStyle w:val="FootnoteReference"/>
        </w:rPr>
        <w:footnoteRef/>
      </w:r>
      <w:r w:rsidRPr="00AF096E">
        <w:rPr>
          <w:lang w:val="lt-LT"/>
        </w:rPr>
        <w:t xml:space="preserve"> </w:t>
      </w:r>
      <w:r>
        <w:rPr>
          <w:lang w:val="lt-LT"/>
        </w:rPr>
        <w:t>Čia ir toliau tekste rodiklio būsena žymima „Naujas rodiklis“, jei iki šiol statistiniai duomenys nebuvo skelbiami (prieinami visuomenei) oficialiąją statistiką tvarkančių institucijų portaluose.</w:t>
      </w:r>
    </w:p>
  </w:footnote>
  <w:footnote w:id="32">
    <w:p w14:paraId="1F6E382C" w14:textId="77777777" w:rsidR="00400FFF" w:rsidRPr="007D4297" w:rsidRDefault="00400FFF" w:rsidP="006D36E5">
      <w:pPr>
        <w:pStyle w:val="FootnoteText"/>
        <w:rPr>
          <w:lang w:val="lt-LT"/>
        </w:rPr>
      </w:pPr>
      <w:r w:rsidRPr="007D4297">
        <w:rPr>
          <w:rStyle w:val="FootnoteReference"/>
          <w:lang w:val="lt-LT"/>
        </w:rPr>
        <w:footnoteRef/>
      </w:r>
      <w:hyperlink r:id="rId25" w:history="1">
        <w:r w:rsidRPr="007D4297">
          <w:rPr>
            <w:rStyle w:val="Hyperlink"/>
            <w:lang w:val="lt-LT"/>
          </w:rPr>
          <w:t>https://www.researchgate.net/publication/274707083_Contested_Gender_Equality_and_Policy_Variety_in_Europe_Introducing_a_Critical_Frame_Analysis_Approach_Mieke_Verloo_and_Emanuela_Lombardo</w:t>
        </w:r>
      </w:hyperlink>
      <w:r w:rsidRPr="007D4297">
        <w:rPr>
          <w:lang w:val="lt-LT"/>
        </w:rPr>
        <w:t xml:space="preserve"> </w:t>
      </w:r>
    </w:p>
  </w:footnote>
  <w:footnote w:id="33">
    <w:p w14:paraId="754DE0C4"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26" w:history="1">
        <w:r w:rsidRPr="007D4297">
          <w:rPr>
            <w:rStyle w:val="Hyperlink"/>
            <w:lang w:val="lt-LT"/>
          </w:rPr>
          <w:t>http://www.ldb.lt/informacija/patarimai/patarimaiieskantiemsdarbo/puslapiai/kas_gali_buti_laikomas.aspx</w:t>
        </w:r>
      </w:hyperlink>
      <w:r w:rsidRPr="007D4297">
        <w:rPr>
          <w:lang w:val="lt-LT"/>
        </w:rPr>
        <w:t xml:space="preserve"> </w:t>
      </w:r>
    </w:p>
  </w:footnote>
  <w:footnote w:id="34">
    <w:p w14:paraId="47B4B211"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27" w:history="1">
        <w:r w:rsidRPr="007D4297">
          <w:rPr>
            <w:rStyle w:val="Hyperlink"/>
            <w:lang w:val="lt-LT"/>
          </w:rPr>
          <w:t>https://osp.stat.gov.lt/documents/10180/3329771/Gyventojai.pdf</w:t>
        </w:r>
      </w:hyperlink>
      <w:r w:rsidRPr="007D4297">
        <w:rPr>
          <w:lang w:val="lt-LT"/>
        </w:rPr>
        <w:t xml:space="preserve"> </w:t>
      </w:r>
    </w:p>
  </w:footnote>
  <w:footnote w:id="35">
    <w:p w14:paraId="7A20218B"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28" w:history="1">
        <w:r w:rsidRPr="007D4297">
          <w:rPr>
            <w:rStyle w:val="Hyperlink"/>
            <w:lang w:val="lt-LT"/>
          </w:rPr>
          <w:t>https://osp.stat.gov.lt/documents/10180/3329771/Gyventojai.pdf</w:t>
        </w:r>
      </w:hyperlink>
      <w:r w:rsidRPr="007D4297">
        <w:rPr>
          <w:lang w:val="lt-LT"/>
        </w:rPr>
        <w:t xml:space="preserve"> </w:t>
      </w:r>
    </w:p>
  </w:footnote>
  <w:footnote w:id="36">
    <w:p w14:paraId="3DB3DCDD"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29" w:history="1">
        <w:r w:rsidRPr="007D4297">
          <w:rPr>
            <w:rStyle w:val="Hyperlink"/>
            <w:lang w:val="lt-LT"/>
          </w:rPr>
          <w:t>http://www.pensijusistema.lt/index.php?619557871</w:t>
        </w:r>
      </w:hyperlink>
      <w:r w:rsidRPr="007D4297">
        <w:rPr>
          <w:lang w:val="lt-LT"/>
        </w:rPr>
        <w:t xml:space="preserve"> </w:t>
      </w:r>
    </w:p>
  </w:footnote>
  <w:footnote w:id="37">
    <w:p w14:paraId="190D41C0" w14:textId="082A67FD" w:rsidR="00400FFF" w:rsidRPr="005C7590" w:rsidRDefault="00400FFF">
      <w:pPr>
        <w:pStyle w:val="FootnoteText"/>
        <w:rPr>
          <w:lang w:val="lt-LT"/>
        </w:rPr>
      </w:pPr>
      <w:r>
        <w:rPr>
          <w:rStyle w:val="FootnoteReference"/>
        </w:rPr>
        <w:footnoteRef/>
      </w:r>
      <w:r w:rsidRPr="005C7590">
        <w:rPr>
          <w:lang w:val="lt-LT"/>
        </w:rPr>
        <w:t xml:space="preserve"> </w:t>
      </w:r>
      <w:hyperlink r:id="rId30" w:history="1">
        <w:r w:rsidRPr="00B76CE7">
          <w:rPr>
            <w:rStyle w:val="Hyperlink"/>
            <w:lang w:val="lt-LT"/>
          </w:rPr>
          <w:t>https://www.e-tar.lt/portal/lt/legalAct/422c8b5042b811e6a8ae9e1795984391</w:t>
        </w:r>
      </w:hyperlink>
      <w:r>
        <w:rPr>
          <w:lang w:val="lt-LT"/>
        </w:rPr>
        <w:t xml:space="preserve"> </w:t>
      </w:r>
    </w:p>
  </w:footnote>
  <w:footnote w:id="38">
    <w:p w14:paraId="382CDE6E" w14:textId="77777777" w:rsidR="00400FFF" w:rsidRPr="007D4297" w:rsidRDefault="00400FFF" w:rsidP="002F1136">
      <w:pPr>
        <w:pStyle w:val="FootnoteText"/>
        <w:rPr>
          <w:lang w:val="lt-LT"/>
        </w:rPr>
      </w:pPr>
      <w:r w:rsidRPr="007D4297">
        <w:rPr>
          <w:rStyle w:val="FootnoteReference"/>
          <w:lang w:val="lt-LT"/>
        </w:rPr>
        <w:footnoteRef/>
      </w:r>
      <w:r w:rsidRPr="007D4297">
        <w:rPr>
          <w:lang w:val="lt-LT"/>
        </w:rPr>
        <w:t xml:space="preserve"> </w:t>
      </w:r>
      <w:hyperlink r:id="rId31" w:history="1">
        <w:r w:rsidRPr="007D4297">
          <w:rPr>
            <w:rStyle w:val="Hyperlink"/>
            <w:lang w:val="lt-LT"/>
          </w:rPr>
          <w:t>http://www.sodra.lt/tevystes-ismokos-naujoves</w:t>
        </w:r>
      </w:hyperlink>
      <w:r w:rsidRPr="007D4297">
        <w:rPr>
          <w:lang w:val="lt-LT"/>
        </w:rPr>
        <w:t xml:space="preserve"> </w:t>
      </w:r>
    </w:p>
  </w:footnote>
  <w:footnote w:id="39">
    <w:p w14:paraId="2C5DFB21" w14:textId="77777777" w:rsidR="00400FFF" w:rsidRPr="007D4297" w:rsidRDefault="00400FFF">
      <w:pPr>
        <w:pStyle w:val="FootnoteText"/>
        <w:rPr>
          <w:lang w:val="lt-LT"/>
        </w:rPr>
      </w:pPr>
      <w:r w:rsidRPr="007D4297">
        <w:rPr>
          <w:rStyle w:val="FootnoteReference"/>
          <w:lang w:val="lt-LT"/>
        </w:rPr>
        <w:footnoteRef/>
      </w:r>
      <w:hyperlink r:id="rId32" w:history="1">
        <w:r w:rsidRPr="007D4297">
          <w:rPr>
            <w:rStyle w:val="Hyperlink"/>
            <w:lang w:val="lt-LT"/>
          </w:rPr>
          <w:t>https://www.researchgate.net/publication/274707083_Contested_Gender_Equality_and_Policy_Variety_in_Europe_Introducing_a_Critical_Frame_Analysis_Approach_Mieke_Verloo_and_Emanuela_Lombardo</w:t>
        </w:r>
      </w:hyperlink>
      <w:r w:rsidRPr="007D4297">
        <w:rPr>
          <w:lang w:val="lt-LT"/>
        </w:rPr>
        <w:t xml:space="preserve"> </w:t>
      </w:r>
    </w:p>
  </w:footnote>
  <w:footnote w:id="40">
    <w:p w14:paraId="0F310C10" w14:textId="6EC5AD73"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33" w:history="1">
        <w:r w:rsidRPr="007D4297">
          <w:rPr>
            <w:rStyle w:val="Hyperlink"/>
            <w:lang w:val="lt-LT"/>
          </w:rPr>
          <w:t>http://www.sodra.lt/lt/situacijos/informacija-gyventojams/noriu-gauti-motinystes-arba-tevystes-ismoka/gime-kudikis-tevystes-ismoka</w:t>
        </w:r>
      </w:hyperlink>
      <w:r w:rsidRPr="007D4297">
        <w:rPr>
          <w:lang w:val="lt-LT"/>
        </w:rPr>
        <w:t xml:space="preserve"> </w:t>
      </w:r>
    </w:p>
  </w:footnote>
  <w:footnote w:id="41">
    <w:p w14:paraId="2C77DA4F"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34" w:history="1">
        <w:r w:rsidRPr="007D4297">
          <w:rPr>
            <w:rStyle w:val="Hyperlink"/>
            <w:lang w:val="lt-LT"/>
          </w:rPr>
          <w:t>https://www.tevu-darzelis.lt/vaiko-prieziuros-atostogos-ir-ismokos/</w:t>
        </w:r>
      </w:hyperlink>
      <w:r w:rsidRPr="007D4297">
        <w:rPr>
          <w:lang w:val="lt-LT"/>
        </w:rPr>
        <w:t xml:space="preserve"> </w:t>
      </w:r>
    </w:p>
  </w:footnote>
  <w:footnote w:id="42">
    <w:p w14:paraId="0CFEE0D1" w14:textId="033E0D5D" w:rsidR="00400FFF" w:rsidRPr="007D4297" w:rsidRDefault="00400FFF" w:rsidP="00796CAC">
      <w:pPr>
        <w:pStyle w:val="FootnoteText"/>
        <w:rPr>
          <w:lang w:val="lt-LT"/>
        </w:rPr>
      </w:pPr>
      <w:r w:rsidRPr="007D4297">
        <w:rPr>
          <w:rStyle w:val="FootnoteReference"/>
          <w:lang w:val="lt-LT"/>
        </w:rPr>
        <w:footnoteRef/>
      </w:r>
      <w:hyperlink r:id="rId35" w:history="1">
        <w:r w:rsidRPr="007D4297">
          <w:rPr>
            <w:rStyle w:val="Hyperlink"/>
            <w:lang w:val="lt-LT"/>
          </w:rPr>
          <w:t>https://www.researchgate.net/publication/274707083_Contested_Gender_Equality_and_Policy_Variety_in_Europe_Introducing_a_Critical_Frame_Analysis_Approach_Mieke_Verloo_and_Emanuela_Lombardo</w:t>
        </w:r>
      </w:hyperlink>
      <w:r w:rsidRPr="007D4297">
        <w:rPr>
          <w:lang w:val="lt-LT"/>
        </w:rPr>
        <w:t xml:space="preserve"> </w:t>
      </w:r>
    </w:p>
  </w:footnote>
  <w:footnote w:id="43">
    <w:p w14:paraId="6BBF0B4F" w14:textId="77777777" w:rsidR="00400FFF" w:rsidRPr="007D4297" w:rsidRDefault="00400FFF" w:rsidP="00A81776">
      <w:pPr>
        <w:pStyle w:val="FootnoteText"/>
        <w:rPr>
          <w:lang w:val="lt-LT"/>
        </w:rPr>
      </w:pPr>
      <w:r w:rsidRPr="007D4297">
        <w:rPr>
          <w:rStyle w:val="FootnoteReference"/>
          <w:lang w:val="lt-LT"/>
        </w:rPr>
        <w:footnoteRef/>
      </w:r>
      <w:r w:rsidRPr="007D4297">
        <w:rPr>
          <w:lang w:val="lt-LT"/>
        </w:rPr>
        <w:t xml:space="preserve"> </w:t>
      </w:r>
      <w:hyperlink r:id="rId36" w:history="1">
        <w:r w:rsidRPr="007D4297">
          <w:rPr>
            <w:rStyle w:val="Hyperlink"/>
            <w:lang w:val="lt-LT"/>
          </w:rPr>
          <w:t>http://www.sodra.lt/lt/situacijos/noriu-priziureti-kudiki-motinystes-tevystes-ismoka</w:t>
        </w:r>
      </w:hyperlink>
      <w:r w:rsidRPr="007D4297">
        <w:rPr>
          <w:lang w:val="lt-LT"/>
        </w:rPr>
        <w:t xml:space="preserve"> </w:t>
      </w:r>
    </w:p>
  </w:footnote>
  <w:footnote w:id="44">
    <w:p w14:paraId="29037CC8" w14:textId="7E934BFF" w:rsidR="00400FFF" w:rsidRPr="007D4297" w:rsidRDefault="00400FFF" w:rsidP="00201B40">
      <w:pPr>
        <w:pStyle w:val="FootnoteText"/>
        <w:rPr>
          <w:lang w:val="lt-LT"/>
        </w:rPr>
      </w:pPr>
      <w:r w:rsidRPr="007D4297">
        <w:rPr>
          <w:rStyle w:val="FootnoteReference"/>
          <w:lang w:val="lt-LT"/>
        </w:rPr>
        <w:footnoteRef/>
      </w:r>
      <w:hyperlink r:id="rId37" w:history="1">
        <w:r w:rsidRPr="007D4297">
          <w:rPr>
            <w:rStyle w:val="Hyperlink"/>
            <w:lang w:val="lt-LT"/>
          </w:rPr>
          <w:t>https://www.researchgate.net/publication/274707083_Contested_Gender_Equality_and_Policy_Variety_in_Europe_Introducing_a_Critical_Frame_Analysis_Approach_Mieke_Verloo_and_Emanuela_Lombardo</w:t>
        </w:r>
      </w:hyperlink>
      <w:r w:rsidRPr="007D4297">
        <w:rPr>
          <w:lang w:val="lt-LT"/>
        </w:rPr>
        <w:t xml:space="preserve"> </w:t>
      </w:r>
    </w:p>
  </w:footnote>
  <w:footnote w:id="45">
    <w:p w14:paraId="35B9A282" w14:textId="77777777" w:rsidR="00400FFF" w:rsidRPr="007D4297" w:rsidRDefault="00400FFF" w:rsidP="004C2B03">
      <w:pPr>
        <w:pStyle w:val="FootnoteText"/>
        <w:rPr>
          <w:lang w:val="lt-LT"/>
        </w:rPr>
      </w:pPr>
      <w:r w:rsidRPr="007D4297">
        <w:rPr>
          <w:rStyle w:val="FootnoteReference"/>
          <w:lang w:val="lt-LT"/>
        </w:rPr>
        <w:footnoteRef/>
      </w:r>
      <w:r w:rsidRPr="007D4297">
        <w:rPr>
          <w:lang w:val="lt-LT"/>
        </w:rPr>
        <w:t xml:space="preserve"> </w:t>
      </w:r>
      <w:hyperlink r:id="rId38" w:history="1">
        <w:r w:rsidRPr="007D4297">
          <w:rPr>
            <w:rStyle w:val="Hyperlink"/>
            <w:lang w:val="lt-LT"/>
          </w:rPr>
          <w:t>http://www.sodra.lt/lt/situacijos/noriu-priziureti-kudiki-motinystes-tevystes-ismoka</w:t>
        </w:r>
      </w:hyperlink>
      <w:r w:rsidRPr="007D4297">
        <w:rPr>
          <w:lang w:val="lt-LT"/>
        </w:rPr>
        <w:t xml:space="preserve"> </w:t>
      </w:r>
    </w:p>
  </w:footnote>
  <w:footnote w:id="46">
    <w:p w14:paraId="05D6C9BE"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39" w:history="1">
        <w:r w:rsidRPr="007D4297">
          <w:rPr>
            <w:rStyle w:val="Hyperlink"/>
            <w:lang w:val="lt-LT"/>
          </w:rPr>
          <w:t>http://www.europarl.europa.eu/RegData/etudes/workshop/join/2013/493037/IPOL-FEMM_AT%282013%29493037_EN.pdf</w:t>
        </w:r>
      </w:hyperlink>
      <w:r w:rsidRPr="007D4297">
        <w:rPr>
          <w:lang w:val="lt-LT"/>
        </w:rPr>
        <w:t xml:space="preserve"> </w:t>
      </w:r>
    </w:p>
  </w:footnote>
  <w:footnote w:id="47">
    <w:p w14:paraId="1C0643A2" w14:textId="77777777" w:rsidR="00400FFF" w:rsidRPr="007D4297" w:rsidRDefault="00400FFF" w:rsidP="004F093C">
      <w:pPr>
        <w:pStyle w:val="FootnoteText"/>
        <w:rPr>
          <w:lang w:val="lt-LT"/>
        </w:rPr>
      </w:pPr>
      <w:r w:rsidRPr="007D4297">
        <w:rPr>
          <w:rStyle w:val="FootnoteReference"/>
          <w:lang w:val="lt-LT"/>
        </w:rPr>
        <w:footnoteRef/>
      </w:r>
      <w:r w:rsidRPr="007D4297">
        <w:rPr>
          <w:lang w:val="lt-LT"/>
        </w:rPr>
        <w:t xml:space="preserve"> </w:t>
      </w:r>
      <w:hyperlink r:id="rId40" w:history="1">
        <w:r w:rsidRPr="007D4297">
          <w:rPr>
            <w:rStyle w:val="Hyperlink"/>
            <w:lang w:val="lt-LT"/>
          </w:rPr>
          <w:t>http://www.europarl.europa.eu/RegData/etudes/workshop/join/2013/493037/IPOL-FEMM_AT%282013%29493037_EN.pdf</w:t>
        </w:r>
      </w:hyperlink>
      <w:r w:rsidRPr="007D4297">
        <w:rPr>
          <w:lang w:val="lt-LT"/>
        </w:rPr>
        <w:t xml:space="preserve"> </w:t>
      </w:r>
    </w:p>
  </w:footnote>
  <w:footnote w:id="48">
    <w:p w14:paraId="4AE2FB12" w14:textId="537F83F5"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1" w:history="1">
        <w:r w:rsidRPr="007D4297">
          <w:rPr>
            <w:rStyle w:val="Hyperlink"/>
            <w:lang w:val="lt-LT"/>
          </w:rPr>
          <w:t>http://ec.europa.eu/justice/gender-equality/files/documents/130531_barcelona_en.pdf</w:t>
        </w:r>
      </w:hyperlink>
      <w:r w:rsidRPr="007D4297">
        <w:rPr>
          <w:lang w:val="lt-LT"/>
        </w:rPr>
        <w:t xml:space="preserve"> </w:t>
      </w:r>
    </w:p>
  </w:footnote>
  <w:footnote w:id="49">
    <w:p w14:paraId="18EC7645" w14:textId="589B657F"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2" w:history="1">
        <w:r w:rsidRPr="007D4297">
          <w:rPr>
            <w:rStyle w:val="Hyperlink"/>
            <w:lang w:val="lt-LT"/>
          </w:rPr>
          <w:t>http://www.europarl.europa.eu/RegData/etudes/workshop/join/2013/493037/IPOL-FEMM_AT(2013)493037_EN.pdf</w:t>
        </w:r>
      </w:hyperlink>
      <w:r w:rsidRPr="007D4297">
        <w:rPr>
          <w:lang w:val="lt-LT"/>
        </w:rPr>
        <w:t xml:space="preserve"> </w:t>
      </w:r>
    </w:p>
  </w:footnote>
  <w:footnote w:id="50">
    <w:p w14:paraId="0DC0064E" w14:textId="639B325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3" w:history="1">
        <w:r w:rsidRPr="007D4297">
          <w:rPr>
            <w:rStyle w:val="Hyperlink"/>
            <w:lang w:val="lt-LT"/>
          </w:rPr>
          <w:t>http://ec.europa.eu/justice/gender-equality/files/documents/130531_barcelona_en.pdf</w:t>
        </w:r>
      </w:hyperlink>
      <w:r w:rsidRPr="007D4297">
        <w:rPr>
          <w:lang w:val="lt-LT"/>
        </w:rPr>
        <w:t xml:space="preserve"> </w:t>
      </w:r>
    </w:p>
  </w:footnote>
  <w:footnote w:id="51">
    <w:p w14:paraId="1621C4B9" w14:textId="2A23803B"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4" w:history="1">
        <w:r w:rsidRPr="007D4297">
          <w:rPr>
            <w:rStyle w:val="Hyperlink"/>
            <w:lang w:val="lt-LT"/>
          </w:rPr>
          <w:t>https://osp.stat.gov.lt/documents/10180/0/neformalusis+ugdymas_metainfo/1b7cb230-4410-4c09-b166-f5cde160e158</w:t>
        </w:r>
      </w:hyperlink>
      <w:r w:rsidRPr="007D4297">
        <w:rPr>
          <w:lang w:val="lt-LT"/>
        </w:rPr>
        <w:t xml:space="preserve"> </w:t>
      </w:r>
    </w:p>
  </w:footnote>
  <w:footnote w:id="52">
    <w:p w14:paraId="5E1439E9" w14:textId="4AD109A2"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5" w:history="1">
        <w:r w:rsidRPr="007D4297">
          <w:rPr>
            <w:rStyle w:val="Hyperlink"/>
            <w:lang w:val="lt-LT"/>
          </w:rPr>
          <w:t>http://www.euro.who.int/__data/assets/pdf_file/0004/64966/E92560.pdf</w:t>
        </w:r>
      </w:hyperlink>
      <w:r w:rsidRPr="007D4297">
        <w:rPr>
          <w:lang w:val="lt-LT"/>
        </w:rPr>
        <w:t xml:space="preserve"> </w:t>
      </w:r>
    </w:p>
  </w:footnote>
  <w:footnote w:id="53">
    <w:p w14:paraId="7B6C4BD0" w14:textId="5E9B6292"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6" w:history="1">
        <w:r w:rsidRPr="007D4297">
          <w:rPr>
            <w:rStyle w:val="Hyperlink"/>
            <w:lang w:val="lt-LT"/>
          </w:rPr>
          <w:t>http://socialiniupaslaugucentras.lt/norintiems-gauti-socialines-pagalbos-namuose-paslaugas.html</w:t>
        </w:r>
      </w:hyperlink>
      <w:r w:rsidRPr="007D4297">
        <w:rPr>
          <w:lang w:val="lt-LT"/>
        </w:rPr>
        <w:t xml:space="preserve"> </w:t>
      </w:r>
    </w:p>
  </w:footnote>
  <w:footnote w:id="54">
    <w:p w14:paraId="375D6DE0"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7" w:history="1">
        <w:r w:rsidRPr="007D4297">
          <w:rPr>
            <w:rStyle w:val="Hyperlink"/>
            <w:lang w:val="lt-LT"/>
          </w:rPr>
          <w:t>https://osp.stat.gov.lt/informaciniai-pranesimai?eventId=94157</w:t>
        </w:r>
      </w:hyperlink>
      <w:r w:rsidRPr="007D4297">
        <w:rPr>
          <w:lang w:val="lt-LT"/>
        </w:rPr>
        <w:t xml:space="preserve"> </w:t>
      </w:r>
    </w:p>
  </w:footnote>
  <w:footnote w:id="55">
    <w:p w14:paraId="164D03EB"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8" w:history="1">
        <w:r w:rsidRPr="007D4297">
          <w:rPr>
            <w:rStyle w:val="Hyperlink"/>
            <w:lang w:val="lt-LT"/>
          </w:rPr>
          <w:t>https://osp.stat.gov.lt/documents/10180/0/moteru+ir+vyru+DU+atotrukis_metainfo</w:t>
        </w:r>
      </w:hyperlink>
      <w:r w:rsidRPr="007D4297">
        <w:rPr>
          <w:lang w:val="lt-LT"/>
        </w:rPr>
        <w:t xml:space="preserve"> </w:t>
      </w:r>
    </w:p>
  </w:footnote>
  <w:footnote w:id="56">
    <w:p w14:paraId="6FB85EF7" w14:textId="1C8CCBEC"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49" w:history="1">
        <w:r w:rsidRPr="007D4297">
          <w:rPr>
            <w:rStyle w:val="Hyperlink"/>
            <w:lang w:val="lt-LT"/>
          </w:rPr>
          <w:t>https://osp.stat.gov.lt/informaciniai-pranesimai?eventId=94157</w:t>
        </w:r>
      </w:hyperlink>
      <w:r w:rsidRPr="007D4297">
        <w:rPr>
          <w:rStyle w:val="Hyperlink"/>
          <w:lang w:val="lt-LT"/>
        </w:rPr>
        <w:t xml:space="preserve"> </w:t>
      </w:r>
    </w:p>
  </w:footnote>
  <w:footnote w:id="57">
    <w:p w14:paraId="239C042C"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50" w:history="1">
        <w:r w:rsidRPr="007D4297">
          <w:rPr>
            <w:rStyle w:val="Hyperlink"/>
            <w:lang w:val="lt-LT"/>
          </w:rPr>
          <w:t>https://ec.europa.eu/info/sites/info/files/european-semester_thematic-factsheet_labour-force-participation-women_en.pdf</w:t>
        </w:r>
      </w:hyperlink>
      <w:r w:rsidRPr="007D4297">
        <w:rPr>
          <w:lang w:val="lt-LT"/>
        </w:rPr>
        <w:t xml:space="preserve"> </w:t>
      </w:r>
    </w:p>
  </w:footnote>
  <w:footnote w:id="58">
    <w:p w14:paraId="3358CF7F"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51" w:history="1">
        <w:r w:rsidRPr="007D4297">
          <w:rPr>
            <w:rStyle w:val="Hyperlink"/>
            <w:lang w:val="lt-LT"/>
          </w:rPr>
          <w:t>http://www.europarl.europa.eu/RegData/etudes/STUD/2016/571363/IPOL_STU(2016)571363_EN.pdf</w:t>
        </w:r>
      </w:hyperlink>
      <w:r w:rsidRPr="007D4297">
        <w:rPr>
          <w:lang w:val="lt-LT"/>
        </w:rPr>
        <w:t xml:space="preserve"> </w:t>
      </w:r>
    </w:p>
  </w:footnote>
  <w:footnote w:id="59">
    <w:p w14:paraId="74DAE1EA" w14:textId="77777777" w:rsidR="00400FFF" w:rsidRPr="007D4297" w:rsidRDefault="00400FFF" w:rsidP="006C60B7">
      <w:pPr>
        <w:pStyle w:val="FootnoteText"/>
        <w:rPr>
          <w:lang w:val="lt-LT"/>
        </w:rPr>
      </w:pPr>
      <w:r w:rsidRPr="007D4297">
        <w:rPr>
          <w:rStyle w:val="FootnoteReference"/>
          <w:lang w:val="lt-LT"/>
        </w:rPr>
        <w:footnoteRef/>
      </w:r>
      <w:r w:rsidRPr="007D4297">
        <w:rPr>
          <w:lang w:val="lt-LT"/>
        </w:rPr>
        <w:t xml:space="preserve"> </w:t>
      </w:r>
      <w:hyperlink r:id="rId52" w:history="1">
        <w:r w:rsidRPr="007D4297">
          <w:rPr>
            <w:rStyle w:val="Hyperlink"/>
            <w:lang w:val="lt-LT"/>
          </w:rPr>
          <w:t>http://www.sodra.lt/lt/situacijos/isankstine-pensija</w:t>
        </w:r>
      </w:hyperlink>
      <w:r w:rsidRPr="007D4297">
        <w:rPr>
          <w:lang w:val="lt-LT"/>
        </w:rPr>
        <w:t xml:space="preserve"> </w:t>
      </w:r>
    </w:p>
  </w:footnote>
  <w:footnote w:id="60">
    <w:p w14:paraId="01C38321" w14:textId="77777777" w:rsidR="00400FFF" w:rsidRPr="007D4297" w:rsidRDefault="00400FFF" w:rsidP="003A7F44">
      <w:pPr>
        <w:pStyle w:val="FootnoteText"/>
        <w:rPr>
          <w:lang w:val="lt-LT"/>
        </w:rPr>
      </w:pPr>
      <w:r w:rsidRPr="007D4297">
        <w:rPr>
          <w:rStyle w:val="FootnoteReference"/>
          <w:lang w:val="lt-LT"/>
        </w:rPr>
        <w:footnoteRef/>
      </w:r>
      <w:r w:rsidRPr="007D4297">
        <w:rPr>
          <w:lang w:val="lt-LT"/>
        </w:rPr>
        <w:t xml:space="preserve"> </w:t>
      </w:r>
      <w:hyperlink r:id="rId53" w:history="1">
        <w:r w:rsidRPr="007D4297">
          <w:rPr>
            <w:rStyle w:val="Hyperlink"/>
            <w:lang w:val="lt-LT"/>
          </w:rPr>
          <w:t>https://www.15min.lt/naujiena/aktualu/sociumas/isankstine-pensija-kas-jos-kreipiasi-ir-ka-butina-zinoti-1083-856744</w:t>
        </w:r>
      </w:hyperlink>
      <w:r w:rsidRPr="007D4297">
        <w:rPr>
          <w:lang w:val="lt-LT"/>
        </w:rPr>
        <w:t xml:space="preserve"> </w:t>
      </w:r>
    </w:p>
  </w:footnote>
  <w:footnote w:id="61">
    <w:p w14:paraId="448A345F"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54" w:history="1">
        <w:r w:rsidRPr="007D4297">
          <w:rPr>
            <w:rStyle w:val="Hyperlink"/>
            <w:lang w:val="lt-LT"/>
          </w:rPr>
          <w:t>http://www.vilnius.lt/index.php?3052657907</w:t>
        </w:r>
      </w:hyperlink>
      <w:r w:rsidRPr="007D4297">
        <w:rPr>
          <w:lang w:val="lt-LT"/>
        </w:rPr>
        <w:t xml:space="preserve"> </w:t>
      </w:r>
    </w:p>
  </w:footnote>
  <w:footnote w:id="62">
    <w:p w14:paraId="050800E0"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55" w:history="1">
        <w:r w:rsidRPr="007D4297">
          <w:rPr>
            <w:rStyle w:val="Hyperlink"/>
            <w:lang w:val="lt-LT"/>
          </w:rPr>
          <w:t>http://www.socialiniszemelapis.lt/index.php?-1309863976</w:t>
        </w:r>
      </w:hyperlink>
      <w:r w:rsidRPr="007D4297">
        <w:rPr>
          <w:lang w:val="lt-LT"/>
        </w:rPr>
        <w:t xml:space="preserve"> </w:t>
      </w:r>
    </w:p>
  </w:footnote>
  <w:footnote w:id="63">
    <w:p w14:paraId="1F164C1F"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56" w:history="1">
        <w:r w:rsidRPr="007D4297">
          <w:rPr>
            <w:rStyle w:val="Hyperlink"/>
            <w:lang w:val="lt-LT"/>
          </w:rPr>
          <w:t>https://ec.europa.eu/epale/sites/epale/files/00033.docx</w:t>
        </w:r>
      </w:hyperlink>
      <w:r w:rsidRPr="007D4297">
        <w:rPr>
          <w:lang w:val="lt-LT"/>
        </w:rPr>
        <w:t xml:space="preserve"> </w:t>
      </w:r>
    </w:p>
  </w:footnote>
  <w:footnote w:id="64">
    <w:p w14:paraId="64DD448F" w14:textId="77777777" w:rsidR="00400FFF" w:rsidRPr="007D4297" w:rsidRDefault="00400FFF" w:rsidP="00196383">
      <w:pPr>
        <w:pStyle w:val="FootnoteText"/>
        <w:rPr>
          <w:lang w:val="lt-LT"/>
        </w:rPr>
      </w:pPr>
      <w:r w:rsidRPr="007D4297">
        <w:rPr>
          <w:rStyle w:val="FootnoteReference"/>
          <w:lang w:val="lt-LT"/>
        </w:rPr>
        <w:footnoteRef/>
      </w:r>
      <w:r w:rsidRPr="007D4297">
        <w:rPr>
          <w:lang w:val="lt-LT"/>
        </w:rPr>
        <w:t xml:space="preserve"> </w:t>
      </w:r>
      <w:hyperlink r:id="rId57" w:history="1">
        <w:r w:rsidRPr="007D4297">
          <w:rPr>
            <w:rStyle w:val="Hyperlink"/>
            <w:lang w:val="lt-LT"/>
          </w:rPr>
          <w:t>http://www.vilnius.lt/index.php?3052657907</w:t>
        </w:r>
      </w:hyperlink>
      <w:r w:rsidRPr="007D4297">
        <w:rPr>
          <w:lang w:val="lt-LT"/>
        </w:rPr>
        <w:t xml:space="preserve"> </w:t>
      </w:r>
    </w:p>
  </w:footnote>
  <w:footnote w:id="65">
    <w:p w14:paraId="35730453" w14:textId="77777777" w:rsidR="00400FFF" w:rsidRPr="007D4297" w:rsidRDefault="00400FFF" w:rsidP="008358B6">
      <w:pPr>
        <w:pStyle w:val="FootnoteText"/>
        <w:rPr>
          <w:lang w:val="lt-LT"/>
        </w:rPr>
      </w:pPr>
      <w:r w:rsidRPr="007D4297">
        <w:rPr>
          <w:rStyle w:val="FootnoteReference"/>
          <w:lang w:val="lt-LT"/>
        </w:rPr>
        <w:footnoteRef/>
      </w:r>
      <w:r w:rsidRPr="007D4297">
        <w:rPr>
          <w:lang w:val="lt-LT"/>
        </w:rPr>
        <w:t xml:space="preserve"> </w:t>
      </w:r>
      <w:hyperlink r:id="rId58" w:history="1">
        <w:r w:rsidRPr="007D4297">
          <w:rPr>
            <w:rStyle w:val="Hyperlink"/>
            <w:lang w:val="lt-LT"/>
          </w:rPr>
          <w:t>https://ec.europa.eu/epale/sites/epale/files/00033.docx</w:t>
        </w:r>
      </w:hyperlink>
      <w:r w:rsidRPr="007D4297">
        <w:rPr>
          <w:lang w:val="lt-LT"/>
        </w:rPr>
        <w:t xml:space="preserve"> </w:t>
      </w:r>
    </w:p>
  </w:footnote>
  <w:footnote w:id="66">
    <w:p w14:paraId="1DEC8A8F" w14:textId="77777777" w:rsidR="00400FFF" w:rsidRPr="007D4297" w:rsidRDefault="00400FFF" w:rsidP="00196383">
      <w:pPr>
        <w:pStyle w:val="FootnoteText"/>
        <w:rPr>
          <w:lang w:val="lt-LT"/>
        </w:rPr>
      </w:pPr>
      <w:r w:rsidRPr="007D4297">
        <w:rPr>
          <w:rStyle w:val="FootnoteReference"/>
          <w:lang w:val="lt-LT"/>
        </w:rPr>
        <w:footnoteRef/>
      </w:r>
      <w:r w:rsidRPr="007D4297">
        <w:rPr>
          <w:lang w:val="lt-LT"/>
        </w:rPr>
        <w:t xml:space="preserve"> </w:t>
      </w:r>
      <w:hyperlink r:id="rId59" w:history="1">
        <w:r w:rsidRPr="007D4297">
          <w:rPr>
            <w:rStyle w:val="Hyperlink"/>
            <w:lang w:val="lt-LT"/>
          </w:rPr>
          <w:t>http://www.vilnius.lt/index.php?3052657907</w:t>
        </w:r>
      </w:hyperlink>
      <w:r w:rsidRPr="007D4297">
        <w:rPr>
          <w:lang w:val="lt-LT"/>
        </w:rPr>
        <w:t xml:space="preserve"> </w:t>
      </w:r>
    </w:p>
  </w:footnote>
  <w:footnote w:id="67">
    <w:p w14:paraId="3F12E8EC" w14:textId="76E322FF"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60" w:history="1">
        <w:r w:rsidRPr="007D4297">
          <w:rPr>
            <w:rStyle w:val="Hyperlink"/>
            <w:lang w:val="lt-LT"/>
          </w:rPr>
          <w:t>http://www.un.org/womenwatch/daw/egm/eql-men/FinalReport.pdf</w:t>
        </w:r>
      </w:hyperlink>
      <w:r w:rsidRPr="007D4297">
        <w:rPr>
          <w:lang w:val="lt-LT"/>
        </w:rPr>
        <w:t xml:space="preserve"> </w:t>
      </w:r>
    </w:p>
  </w:footnote>
  <w:footnote w:id="68">
    <w:p w14:paraId="1879AD6F" w14:textId="77777777" w:rsidR="00400FFF" w:rsidRPr="007D4297" w:rsidRDefault="00400FFF">
      <w:pPr>
        <w:pStyle w:val="FootnoteText"/>
        <w:rPr>
          <w:lang w:val="lt-LT"/>
        </w:rPr>
      </w:pPr>
      <w:r w:rsidRPr="007D4297">
        <w:rPr>
          <w:rStyle w:val="FootnoteReference"/>
          <w:lang w:val="lt-LT"/>
        </w:rPr>
        <w:footnoteRef/>
      </w:r>
      <w:r w:rsidRPr="007D4297">
        <w:rPr>
          <w:lang w:val="lt-LT"/>
        </w:rPr>
        <w:t xml:space="preserve"> Visuomenės sveikatos būklė Lietuvos savivaldybėse 2016 (HI (SIC)).</w:t>
      </w:r>
    </w:p>
  </w:footnote>
  <w:footnote w:id="69">
    <w:p w14:paraId="0EFF4788" w14:textId="77777777" w:rsidR="00400FFF" w:rsidRPr="007D4297" w:rsidRDefault="00400FFF" w:rsidP="009A2AC0">
      <w:pPr>
        <w:pStyle w:val="FootnoteText"/>
        <w:rPr>
          <w:lang w:val="lt-LT"/>
        </w:rPr>
      </w:pPr>
      <w:r w:rsidRPr="007D4297">
        <w:rPr>
          <w:rStyle w:val="FootnoteReference"/>
          <w:lang w:val="lt-LT"/>
        </w:rPr>
        <w:footnoteRef/>
      </w:r>
      <w:r w:rsidRPr="007D4297">
        <w:rPr>
          <w:lang w:val="lt-LT"/>
        </w:rPr>
        <w:t xml:space="preserve"> Visuomenės sveikatos būklė Lietuvos savivaldybėse 2016 (HI (SIC)).</w:t>
      </w:r>
    </w:p>
  </w:footnote>
  <w:footnote w:id="70">
    <w:p w14:paraId="7267D577" w14:textId="77777777" w:rsidR="00400FFF" w:rsidRPr="007D4297" w:rsidRDefault="00400FFF" w:rsidP="009A2AC0">
      <w:pPr>
        <w:pStyle w:val="FootnoteText"/>
        <w:rPr>
          <w:lang w:val="lt-LT"/>
        </w:rPr>
      </w:pPr>
      <w:r w:rsidRPr="007D4297">
        <w:rPr>
          <w:rStyle w:val="FootnoteReference"/>
          <w:lang w:val="lt-LT"/>
        </w:rPr>
        <w:footnoteRef/>
      </w:r>
      <w:r w:rsidRPr="007D4297">
        <w:rPr>
          <w:lang w:val="lt-LT"/>
        </w:rPr>
        <w:t xml:space="preserve"> Visuomenės sveikatos būklė Lietuvos savivaldybėse 2016 (HI (SIC)).</w:t>
      </w:r>
    </w:p>
  </w:footnote>
  <w:footnote w:id="71">
    <w:p w14:paraId="147524C1" w14:textId="77777777" w:rsidR="00400FFF" w:rsidRPr="007D4297" w:rsidRDefault="00400FFF" w:rsidP="009A2AC0">
      <w:pPr>
        <w:pStyle w:val="FootnoteText"/>
        <w:rPr>
          <w:lang w:val="lt-LT"/>
        </w:rPr>
      </w:pPr>
      <w:r w:rsidRPr="007D4297">
        <w:rPr>
          <w:rStyle w:val="FootnoteReference"/>
          <w:lang w:val="lt-LT"/>
        </w:rPr>
        <w:footnoteRef/>
      </w:r>
      <w:r w:rsidRPr="007D4297">
        <w:rPr>
          <w:lang w:val="lt-LT"/>
        </w:rPr>
        <w:t xml:space="preserve"> Visuomenės sveikatos būklė Lietuvos savivaldybėse 2016 (HI (SIC)).</w:t>
      </w:r>
    </w:p>
  </w:footnote>
  <w:footnote w:id="72">
    <w:p w14:paraId="1EB693F6" w14:textId="087CEBE2"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61" w:history="1">
        <w:r w:rsidRPr="007D4297">
          <w:rPr>
            <w:rStyle w:val="Hyperlink"/>
            <w:lang w:val="lt-LT"/>
          </w:rPr>
          <w:t>http://www.springer.com/gp/book/9789812871879</w:t>
        </w:r>
      </w:hyperlink>
      <w:r w:rsidRPr="007D4297">
        <w:rPr>
          <w:lang w:val="lt-LT"/>
        </w:rPr>
        <w:t xml:space="preserve"> </w:t>
      </w:r>
    </w:p>
  </w:footnote>
  <w:footnote w:id="73">
    <w:p w14:paraId="4953DB3C" w14:textId="00AF2025" w:rsidR="00400FFF" w:rsidRPr="007D4297" w:rsidRDefault="00400FFF">
      <w:pPr>
        <w:pStyle w:val="FootnoteText"/>
        <w:rPr>
          <w:lang w:val="lt-LT"/>
        </w:rPr>
      </w:pPr>
      <w:r w:rsidRPr="007D4297">
        <w:rPr>
          <w:rStyle w:val="FootnoteReference"/>
          <w:lang w:val="lt-LT"/>
        </w:rPr>
        <w:footnoteRef/>
      </w:r>
      <w:r w:rsidRPr="007D4297">
        <w:rPr>
          <w:lang w:val="lt-LT"/>
        </w:rPr>
        <w:t xml:space="preserve"> Visuomenės sveikatos būklė Lietuvos savivaldybėse 2016 (HI (SIC)). </w:t>
      </w:r>
    </w:p>
  </w:footnote>
  <w:footnote w:id="74">
    <w:p w14:paraId="7A77D783" w14:textId="77777777" w:rsidR="00400FFF" w:rsidRPr="007D4297" w:rsidRDefault="00400FFF" w:rsidP="004465AF">
      <w:pPr>
        <w:pStyle w:val="FootnoteText"/>
        <w:rPr>
          <w:lang w:val="lt-LT"/>
        </w:rPr>
      </w:pPr>
      <w:r w:rsidRPr="007D4297">
        <w:rPr>
          <w:rStyle w:val="FootnoteReference"/>
          <w:lang w:val="lt-LT"/>
        </w:rPr>
        <w:footnoteRef/>
      </w:r>
      <w:r w:rsidRPr="007D4297">
        <w:rPr>
          <w:lang w:val="lt-LT"/>
        </w:rPr>
        <w:t xml:space="preserve"> </w:t>
      </w:r>
      <w:hyperlink r:id="rId62" w:history="1">
        <w:r w:rsidRPr="007D4297">
          <w:rPr>
            <w:rStyle w:val="Hyperlink"/>
            <w:lang w:val="lt-LT"/>
          </w:rPr>
          <w:t>http://www.springer.com/gp/book/9789812871879</w:t>
        </w:r>
      </w:hyperlink>
      <w:r w:rsidRPr="007D4297">
        <w:rPr>
          <w:lang w:val="lt-LT"/>
        </w:rPr>
        <w:t xml:space="preserve"> </w:t>
      </w:r>
    </w:p>
  </w:footnote>
  <w:footnote w:id="75">
    <w:p w14:paraId="2BE28E05" w14:textId="54F5E3A2"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63" w:history="1">
        <w:r w:rsidRPr="007D4297">
          <w:rPr>
            <w:rStyle w:val="Hyperlink"/>
            <w:lang w:val="lt-LT"/>
          </w:rPr>
          <w:t>http://www.hi.lt/uploads/pdf/padaliniai/BAS/Vaiku%20sveikata%202001-2013%20pdf.pdf</w:t>
        </w:r>
      </w:hyperlink>
      <w:r w:rsidRPr="007D4297">
        <w:rPr>
          <w:lang w:val="lt-LT"/>
        </w:rPr>
        <w:t xml:space="preserve">  </w:t>
      </w:r>
    </w:p>
  </w:footnote>
  <w:footnote w:id="76">
    <w:p w14:paraId="15D929AA" w14:textId="09486265" w:rsidR="00400FFF" w:rsidRPr="00593578" w:rsidRDefault="00400FFF">
      <w:pPr>
        <w:pStyle w:val="FootnoteText"/>
        <w:rPr>
          <w:lang w:val="lt-LT"/>
        </w:rPr>
      </w:pPr>
      <w:r>
        <w:rPr>
          <w:rStyle w:val="FootnoteReference"/>
        </w:rPr>
        <w:footnoteRef/>
      </w:r>
      <w:r w:rsidRPr="00593578">
        <w:rPr>
          <w:lang w:val="lt-LT"/>
        </w:rPr>
        <w:t xml:space="preserve"> </w:t>
      </w:r>
      <w:hyperlink r:id="rId64" w:history="1">
        <w:r w:rsidRPr="007D4297">
          <w:rPr>
            <w:rStyle w:val="Hyperlink"/>
            <w:lang w:val="lt-LT"/>
          </w:rPr>
          <w:t>http://www.hi.lt/uploads/pdf/padaliniai/BAS/Vaiku%20sveikata%202001-2013%20pdf.pdf</w:t>
        </w:r>
      </w:hyperlink>
      <w:r w:rsidRPr="007D4297">
        <w:rPr>
          <w:lang w:val="lt-LT"/>
        </w:rPr>
        <w:t xml:space="preserve">  </w:t>
      </w:r>
      <w:r>
        <w:rPr>
          <w:lang w:val="lt-LT"/>
        </w:rPr>
        <w:t xml:space="preserve"> </w:t>
      </w:r>
    </w:p>
  </w:footnote>
  <w:footnote w:id="77">
    <w:p w14:paraId="5503FC5E" w14:textId="107742F2" w:rsidR="00400FFF" w:rsidRPr="007D4297" w:rsidRDefault="00400FFF">
      <w:pPr>
        <w:pStyle w:val="FootnoteText"/>
        <w:rPr>
          <w:lang w:val="lt-LT"/>
        </w:rPr>
      </w:pPr>
      <w:r>
        <w:rPr>
          <w:rStyle w:val="FootnoteReference"/>
        </w:rPr>
        <w:footnoteRef/>
      </w:r>
      <w:r w:rsidRPr="007D4297">
        <w:rPr>
          <w:lang w:val="lt-LT"/>
        </w:rPr>
        <w:t xml:space="preserve"> </w:t>
      </w:r>
      <w:hyperlink r:id="rId65" w:history="1">
        <w:r w:rsidRPr="00B76CE7">
          <w:rPr>
            <w:rStyle w:val="Hyperlink"/>
            <w:lang w:val="lt-LT"/>
          </w:rPr>
          <w:t>http://www.who.int/reproductivehealth/topics/violence/sexual_violence/en/</w:t>
        </w:r>
      </w:hyperlink>
      <w:r>
        <w:rPr>
          <w:lang w:val="lt-LT"/>
        </w:rPr>
        <w:t xml:space="preserve"> </w:t>
      </w:r>
    </w:p>
  </w:footnote>
  <w:footnote w:id="78">
    <w:p w14:paraId="57945628" w14:textId="536C4DDE" w:rsidR="00400FFF" w:rsidRPr="007D4297" w:rsidRDefault="00400FFF">
      <w:pPr>
        <w:pStyle w:val="FootnoteText"/>
        <w:rPr>
          <w:lang w:val="lt-LT"/>
        </w:rPr>
      </w:pPr>
      <w:r w:rsidRPr="007D4297">
        <w:rPr>
          <w:rStyle w:val="FootnoteReference"/>
          <w:lang w:val="lt-LT"/>
        </w:rPr>
        <w:footnoteRef/>
      </w:r>
      <w:r w:rsidRPr="007D4297">
        <w:rPr>
          <w:lang w:val="lt-LT"/>
        </w:rPr>
        <w:t xml:space="preserve"> </w:t>
      </w:r>
      <w:hyperlink r:id="rId66" w:anchor="Seksualin.C4.97_prievarta" w:history="1">
        <w:r w:rsidRPr="007D4297">
          <w:rPr>
            <w:rStyle w:val="Hyperlink"/>
            <w:lang w:val="lt-LT"/>
          </w:rPr>
          <w:t>http://ec.europa.eu/eurostat/statistics-explained/index.php/Crime_and_criminal_justice_statistics/lt#Seksualin.C4.97_prievarta</w:t>
        </w:r>
      </w:hyperlink>
      <w:r w:rsidRPr="007D4297">
        <w:rPr>
          <w:lang w:val="lt-LT"/>
        </w:rPr>
        <w:t xml:space="preserve"> </w:t>
      </w:r>
    </w:p>
  </w:footnote>
  <w:footnote w:id="79">
    <w:p w14:paraId="1D3D4B45" w14:textId="4373B60E" w:rsidR="00400FFF" w:rsidRPr="00AE34FF" w:rsidRDefault="00400FFF">
      <w:pPr>
        <w:pStyle w:val="FootnoteText"/>
        <w:rPr>
          <w:lang w:val="lt-LT"/>
        </w:rPr>
      </w:pPr>
      <w:r>
        <w:rPr>
          <w:rStyle w:val="FootnoteReference"/>
        </w:rPr>
        <w:footnoteRef/>
      </w:r>
      <w:r w:rsidRPr="00AE34FF">
        <w:rPr>
          <w:lang w:val="lt-LT"/>
        </w:rPr>
        <w:t xml:space="preserve"> </w:t>
      </w:r>
      <w:hyperlink r:id="rId67" w:history="1">
        <w:r w:rsidRPr="00B76CE7">
          <w:rPr>
            <w:rStyle w:val="Hyperlink"/>
            <w:lang w:val="lt-LT"/>
          </w:rPr>
          <w:t>https://policija.lrv.lt/lt/veiklos-sritys/viesosios-tvarkos-ir-gyventoju-saugumo-uztikrinimas/smurtas-artimoje-aplinkoje/kur-kreiptis-patyrus-smurta/specializuotos-pagalbos-centrai</w:t>
        </w:r>
      </w:hyperlink>
      <w:r>
        <w:rPr>
          <w:lang w:val="lt-LT"/>
        </w:rPr>
        <w:t xml:space="preserve"> </w:t>
      </w:r>
    </w:p>
  </w:footnote>
  <w:footnote w:id="80">
    <w:p w14:paraId="0CB3F913" w14:textId="4CDA2C1F" w:rsidR="00400FFF" w:rsidRPr="00AE34FF" w:rsidRDefault="00400FFF">
      <w:pPr>
        <w:pStyle w:val="FootnoteText"/>
        <w:rPr>
          <w:lang w:val="lt-LT"/>
        </w:rPr>
      </w:pPr>
      <w:r>
        <w:rPr>
          <w:rStyle w:val="FootnoteReference"/>
        </w:rPr>
        <w:footnoteRef/>
      </w:r>
      <w:r w:rsidRPr="00AE34FF">
        <w:rPr>
          <w:lang w:val="lt-LT"/>
        </w:rPr>
        <w:t xml:space="preserve"> </w:t>
      </w:r>
      <w:hyperlink r:id="rId68" w:history="1">
        <w:r w:rsidRPr="00B76CE7">
          <w:rPr>
            <w:rStyle w:val="Hyperlink"/>
            <w:lang w:val="lt-LT"/>
          </w:rPr>
          <w:t>https://policija.lrv.lt/lt/veiklos-sritys/viesosios-tvarkos-ir-gyventoju-saugumo-uztikrinimas/smurtas-artimoje-aplinkoje/kur-kreiptis-patyrus-smurta/specializuotos-pagalbos-centrai</w:t>
        </w:r>
      </w:hyperlink>
      <w:r>
        <w:rPr>
          <w:lang w:val="lt-LT"/>
        </w:rPr>
        <w:t xml:space="preserve"> </w:t>
      </w:r>
    </w:p>
  </w:footnote>
  <w:footnote w:id="81">
    <w:p w14:paraId="3E927EAD" w14:textId="6986B476" w:rsidR="00400FFF" w:rsidRPr="000B6FA6" w:rsidRDefault="00400FFF">
      <w:pPr>
        <w:pStyle w:val="FootnoteText"/>
        <w:rPr>
          <w:lang w:val="lt-LT"/>
        </w:rPr>
      </w:pPr>
      <w:r>
        <w:rPr>
          <w:rStyle w:val="FootnoteReference"/>
        </w:rPr>
        <w:footnoteRef/>
      </w:r>
      <w:r w:rsidRPr="000B6FA6">
        <w:rPr>
          <w:lang w:val="lt-LT"/>
        </w:rPr>
        <w:t xml:space="preserve"> </w:t>
      </w:r>
      <w:hyperlink r:id="rId69" w:history="1">
        <w:r w:rsidRPr="00B76CE7">
          <w:rPr>
            <w:rStyle w:val="Hyperlink"/>
            <w:lang w:val="lt-LT"/>
          </w:rPr>
          <w:t>https://policija.lrv.lt/lt/veiklos-sritys/viesosios-tvarkos-ir-gyventoju-saugumo-uztikrinimas/smurtas-artimoje-aplinkoje/kur-kreiptis-patyrus-smurta/specializuotos-pagalbos-centrai</w:t>
        </w:r>
      </w:hyperlink>
      <w:r>
        <w:rPr>
          <w:lang w:val="lt-LT"/>
        </w:rPr>
        <w:t xml:space="preserve"> </w:t>
      </w:r>
    </w:p>
  </w:footnote>
  <w:footnote w:id="82">
    <w:p w14:paraId="6ABD807F" w14:textId="23D677C8" w:rsidR="00400FFF" w:rsidRPr="00AE34FF" w:rsidRDefault="00400FFF">
      <w:pPr>
        <w:pStyle w:val="FootnoteText"/>
        <w:rPr>
          <w:lang w:val="lt-LT"/>
        </w:rPr>
      </w:pPr>
      <w:r>
        <w:rPr>
          <w:rStyle w:val="FootnoteReference"/>
        </w:rPr>
        <w:footnoteRef/>
      </w:r>
      <w:r w:rsidRPr="00AE34FF">
        <w:rPr>
          <w:lang w:val="lt-LT"/>
        </w:rPr>
        <w:t xml:space="preserve"> </w:t>
      </w:r>
      <w:hyperlink r:id="rId70" w:history="1">
        <w:r w:rsidRPr="00B76CE7">
          <w:rPr>
            <w:rStyle w:val="Hyperlink"/>
            <w:lang w:val="lt-LT"/>
          </w:rPr>
          <w:t>https://policija.lrv.lt/lt/veiklos-sritys/viesosios-tvarkos-ir-gyventoju-saugumo-uztikrinimas/smurtas-artimoje-aplinkoje/kur-kreiptis-patyrus-smurta/specializuotos-pagalbos-centrai</w:t>
        </w:r>
      </w:hyperlink>
      <w:r>
        <w:rPr>
          <w:lang w:val="lt-LT"/>
        </w:rPr>
        <w:t xml:space="preserve"> </w:t>
      </w:r>
    </w:p>
  </w:footnote>
  <w:footnote w:id="83">
    <w:p w14:paraId="1B681560" w14:textId="4ED0B28F" w:rsidR="00400FFF" w:rsidRPr="00535DA7" w:rsidRDefault="00400FFF">
      <w:pPr>
        <w:pStyle w:val="FootnoteText"/>
        <w:rPr>
          <w:lang w:val="lt-LT"/>
        </w:rPr>
      </w:pPr>
      <w:r>
        <w:rPr>
          <w:rStyle w:val="FootnoteReference"/>
        </w:rPr>
        <w:footnoteRef/>
      </w:r>
      <w:r>
        <w:t xml:space="preserve"> </w:t>
      </w:r>
      <w:r w:rsidRPr="007D4297">
        <w:rPr>
          <w:i/>
          <w:lang w:val="lt-LT"/>
        </w:rPr>
        <w:t>2016-2019 m. strateginiai įsipareigojimai užtikrinti lyčių lygybę</w:t>
      </w:r>
      <w:r w:rsidRPr="007D4297">
        <w:rPr>
          <w:lang w:val="lt-LT"/>
        </w:rPr>
        <w:t>. Europos Komisija</w:t>
      </w:r>
      <w:r>
        <w:rPr>
          <w:lang w:val="lt-LT"/>
        </w:rPr>
        <w:t xml:space="preserve"> </w:t>
      </w:r>
    </w:p>
  </w:footnote>
  <w:footnote w:id="84">
    <w:p w14:paraId="72C7C87D" w14:textId="08B5BC18" w:rsidR="00400FFF" w:rsidRPr="00102288" w:rsidRDefault="00400FFF">
      <w:pPr>
        <w:pStyle w:val="FootnoteText"/>
        <w:rPr>
          <w:lang w:val="lt-LT"/>
        </w:rPr>
      </w:pPr>
      <w:r>
        <w:rPr>
          <w:rStyle w:val="FootnoteReference"/>
        </w:rPr>
        <w:footnoteRef/>
      </w:r>
      <w:r w:rsidRPr="00102288">
        <w:rPr>
          <w:lang w:val="lt-LT"/>
        </w:rPr>
        <w:t xml:space="preserve"> </w:t>
      </w:r>
      <w:hyperlink r:id="rId71" w:history="1">
        <w:r w:rsidRPr="00B76CE7">
          <w:rPr>
            <w:rStyle w:val="Hyperlink"/>
            <w:lang w:val="lt-LT"/>
          </w:rPr>
          <w:t>https://osp.stat.gov.lt/documents/10180/576798/Skurdo_rodikliu_metodika_2016.pdf</w:t>
        </w:r>
      </w:hyperlink>
      <w:r>
        <w:rPr>
          <w:lang w:val="lt-LT"/>
        </w:rPr>
        <w:t xml:space="preserve"> </w:t>
      </w:r>
    </w:p>
  </w:footnote>
  <w:footnote w:id="85">
    <w:p w14:paraId="60A302F6" w14:textId="17ACD5F4" w:rsidR="00400FFF" w:rsidRPr="00A962F9" w:rsidRDefault="00400FFF">
      <w:pPr>
        <w:pStyle w:val="FootnoteText"/>
        <w:rPr>
          <w:lang w:val="lt-LT"/>
        </w:rPr>
      </w:pPr>
      <w:r>
        <w:rPr>
          <w:rStyle w:val="FootnoteReference"/>
        </w:rPr>
        <w:footnoteRef/>
      </w:r>
      <w:hyperlink r:id="rId72" w:history="1">
        <w:r w:rsidRPr="007D4297">
          <w:rPr>
            <w:rStyle w:val="Hyperlink"/>
            <w:lang w:val="lt-LT"/>
          </w:rPr>
          <w:t>https://www.researchgate.net/publication/274707083_Contested_Gender_Equality_and_Policy_Variety_in_Europe_Introducing_a_Critical_Frame_Analysis_Approach_Mieke_Verloo_and_Emanuela_Lombardo</w:t>
        </w:r>
      </w:hyperlink>
      <w:r>
        <w:rPr>
          <w:rStyle w:val="Hyperlink"/>
          <w:lang w:val="lt-L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DBA"/>
    <w:multiLevelType w:val="hybridMultilevel"/>
    <w:tmpl w:val="54F4AE26"/>
    <w:lvl w:ilvl="0" w:tplc="7DF21A60">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077C"/>
    <w:multiLevelType w:val="hybridMultilevel"/>
    <w:tmpl w:val="A87E66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457919"/>
    <w:multiLevelType w:val="hybridMultilevel"/>
    <w:tmpl w:val="C66CA59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2C2C"/>
    <w:multiLevelType w:val="multilevel"/>
    <w:tmpl w:val="B7EA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627EB"/>
    <w:multiLevelType w:val="multilevel"/>
    <w:tmpl w:val="591291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9D2242"/>
    <w:multiLevelType w:val="hybridMultilevel"/>
    <w:tmpl w:val="C9DCB35C"/>
    <w:lvl w:ilvl="0" w:tplc="C7BC15DE">
      <w:start w:val="1"/>
      <w:numFmt w:val="decimal"/>
      <w:lvlText w:val="%1."/>
      <w:lvlJc w:val="left"/>
      <w:pPr>
        <w:ind w:left="1440" w:hanging="360"/>
      </w:pPr>
      <w:rPr>
        <w:rFonts w:hint="default"/>
        <w:color w:val="auto"/>
      </w:rPr>
    </w:lvl>
    <w:lvl w:ilvl="1" w:tplc="F9EA22A8">
      <w:start w:val="1"/>
      <w:numFmt w:val="lowerLetter"/>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B23A14"/>
    <w:multiLevelType w:val="hybridMultilevel"/>
    <w:tmpl w:val="8AB235C0"/>
    <w:lvl w:ilvl="0" w:tplc="18B05F6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C0CA3"/>
    <w:multiLevelType w:val="multilevel"/>
    <w:tmpl w:val="F064CDB6"/>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8" w15:restartNumberingAfterBreak="0">
    <w:nsid w:val="3FAF6E87"/>
    <w:multiLevelType w:val="hybridMultilevel"/>
    <w:tmpl w:val="8F589D64"/>
    <w:lvl w:ilvl="0" w:tplc="14E28040">
      <w:start w:val="1"/>
      <w:numFmt w:val="lowerLetter"/>
      <w:lvlText w:val="(%1)"/>
      <w:lvlJc w:val="left"/>
      <w:pPr>
        <w:ind w:left="1800" w:hanging="360"/>
      </w:pPr>
      <w:rPr>
        <w:rFonts w:hint="default"/>
      </w:rPr>
    </w:lvl>
    <w:lvl w:ilvl="1" w:tplc="DF06A6A6">
      <w:start w:val="1"/>
      <w:numFmt w:val="lowerRoman"/>
      <w:lvlText w:val="%2."/>
      <w:lvlJc w:val="left"/>
      <w:pPr>
        <w:ind w:left="2520" w:hanging="360"/>
      </w:pPr>
      <w:rPr>
        <w:rFonts w:ascii="Times New Roman" w:eastAsia="Calibri" w:hAnsi="Times New Roman" w:cs="Times New Roman"/>
      </w:rPr>
    </w:lvl>
    <w:lvl w:ilvl="2" w:tplc="A4A6E726">
      <w:start w:val="3"/>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695C5C"/>
    <w:multiLevelType w:val="multilevel"/>
    <w:tmpl w:val="1E8A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64E6D"/>
    <w:multiLevelType w:val="hybridMultilevel"/>
    <w:tmpl w:val="01DC9062"/>
    <w:lvl w:ilvl="0" w:tplc="14624C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530AA"/>
    <w:multiLevelType w:val="multilevel"/>
    <w:tmpl w:val="277E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572B2"/>
    <w:multiLevelType w:val="hybridMultilevel"/>
    <w:tmpl w:val="C032F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BA51814"/>
    <w:multiLevelType w:val="multilevel"/>
    <w:tmpl w:val="BB4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406F9"/>
    <w:multiLevelType w:val="multilevel"/>
    <w:tmpl w:val="414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D6F34"/>
    <w:multiLevelType w:val="hybridMultilevel"/>
    <w:tmpl w:val="E79601CC"/>
    <w:lvl w:ilvl="0" w:tplc="481E1FA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9"/>
  </w:num>
  <w:num w:numId="6">
    <w:abstractNumId w:val="6"/>
  </w:num>
  <w:num w:numId="7">
    <w:abstractNumId w:val="8"/>
  </w:num>
  <w:num w:numId="8">
    <w:abstractNumId w:val="13"/>
  </w:num>
  <w:num w:numId="9">
    <w:abstractNumId w:val="14"/>
  </w:num>
  <w:num w:numId="10">
    <w:abstractNumId w:val="7"/>
  </w:num>
  <w:num w:numId="11">
    <w:abstractNumId w:val="3"/>
  </w:num>
  <w:num w:numId="12">
    <w:abstractNumId w:val="11"/>
  </w:num>
  <w:num w:numId="13">
    <w:abstractNumId w:val="4"/>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8A"/>
    <w:rsid w:val="00000498"/>
    <w:rsid w:val="00002199"/>
    <w:rsid w:val="00003EA2"/>
    <w:rsid w:val="0000526C"/>
    <w:rsid w:val="0001102D"/>
    <w:rsid w:val="0002385C"/>
    <w:rsid w:val="000249D6"/>
    <w:rsid w:val="0002638E"/>
    <w:rsid w:val="00033D1B"/>
    <w:rsid w:val="0003742F"/>
    <w:rsid w:val="00037F5C"/>
    <w:rsid w:val="000401A1"/>
    <w:rsid w:val="0004057F"/>
    <w:rsid w:val="00040F7E"/>
    <w:rsid w:val="00041BE9"/>
    <w:rsid w:val="00047B36"/>
    <w:rsid w:val="00060AAF"/>
    <w:rsid w:val="00060D5E"/>
    <w:rsid w:val="000623CD"/>
    <w:rsid w:val="00071A6B"/>
    <w:rsid w:val="000822EA"/>
    <w:rsid w:val="00083FB3"/>
    <w:rsid w:val="000840B3"/>
    <w:rsid w:val="00084FD8"/>
    <w:rsid w:val="000874FF"/>
    <w:rsid w:val="00090590"/>
    <w:rsid w:val="0009144B"/>
    <w:rsid w:val="000935F9"/>
    <w:rsid w:val="00095A0E"/>
    <w:rsid w:val="000963BF"/>
    <w:rsid w:val="000968F7"/>
    <w:rsid w:val="000A22F3"/>
    <w:rsid w:val="000A2715"/>
    <w:rsid w:val="000A6558"/>
    <w:rsid w:val="000B3C1B"/>
    <w:rsid w:val="000B3CF1"/>
    <w:rsid w:val="000B6FA6"/>
    <w:rsid w:val="000C0397"/>
    <w:rsid w:val="000D01AC"/>
    <w:rsid w:val="000D3256"/>
    <w:rsid w:val="000D4919"/>
    <w:rsid w:val="000E6F7C"/>
    <w:rsid w:val="000E7665"/>
    <w:rsid w:val="000F062D"/>
    <w:rsid w:val="000F4489"/>
    <w:rsid w:val="000F5079"/>
    <w:rsid w:val="000F5B61"/>
    <w:rsid w:val="000F77FD"/>
    <w:rsid w:val="001012BC"/>
    <w:rsid w:val="00102288"/>
    <w:rsid w:val="00102F76"/>
    <w:rsid w:val="00106089"/>
    <w:rsid w:val="001066E8"/>
    <w:rsid w:val="001101DC"/>
    <w:rsid w:val="001118D0"/>
    <w:rsid w:val="001133DC"/>
    <w:rsid w:val="00120A48"/>
    <w:rsid w:val="00121C3B"/>
    <w:rsid w:val="001308C8"/>
    <w:rsid w:val="0013124F"/>
    <w:rsid w:val="00133D83"/>
    <w:rsid w:val="001344FB"/>
    <w:rsid w:val="00141165"/>
    <w:rsid w:val="00141234"/>
    <w:rsid w:val="0014540A"/>
    <w:rsid w:val="001468C1"/>
    <w:rsid w:val="0015042C"/>
    <w:rsid w:val="00150766"/>
    <w:rsid w:val="00154142"/>
    <w:rsid w:val="00154AB2"/>
    <w:rsid w:val="001647AE"/>
    <w:rsid w:val="001648AD"/>
    <w:rsid w:val="001657C7"/>
    <w:rsid w:val="00165807"/>
    <w:rsid w:val="00170093"/>
    <w:rsid w:val="00172489"/>
    <w:rsid w:val="001768AD"/>
    <w:rsid w:val="001770E3"/>
    <w:rsid w:val="001848FB"/>
    <w:rsid w:val="0018548A"/>
    <w:rsid w:val="00186BBB"/>
    <w:rsid w:val="00190ACD"/>
    <w:rsid w:val="001950D5"/>
    <w:rsid w:val="00196383"/>
    <w:rsid w:val="001A2E14"/>
    <w:rsid w:val="001A53A2"/>
    <w:rsid w:val="001A55AC"/>
    <w:rsid w:val="001A61AE"/>
    <w:rsid w:val="001A61D8"/>
    <w:rsid w:val="001A6BCC"/>
    <w:rsid w:val="001B016B"/>
    <w:rsid w:val="001B0959"/>
    <w:rsid w:val="001B0A1C"/>
    <w:rsid w:val="001B1F1B"/>
    <w:rsid w:val="001B2776"/>
    <w:rsid w:val="001B31F9"/>
    <w:rsid w:val="001B329C"/>
    <w:rsid w:val="001B32BA"/>
    <w:rsid w:val="001B4233"/>
    <w:rsid w:val="001B5959"/>
    <w:rsid w:val="001B6CF2"/>
    <w:rsid w:val="001B6F35"/>
    <w:rsid w:val="001B703F"/>
    <w:rsid w:val="001C6675"/>
    <w:rsid w:val="001C7768"/>
    <w:rsid w:val="001D166B"/>
    <w:rsid w:val="001D3BA4"/>
    <w:rsid w:val="001D4B30"/>
    <w:rsid w:val="001D6A08"/>
    <w:rsid w:val="001D6A40"/>
    <w:rsid w:val="001D6AC0"/>
    <w:rsid w:val="001D7393"/>
    <w:rsid w:val="001E180C"/>
    <w:rsid w:val="001E2D3F"/>
    <w:rsid w:val="001E2E6B"/>
    <w:rsid w:val="001E39D9"/>
    <w:rsid w:val="001E6103"/>
    <w:rsid w:val="001F2DC6"/>
    <w:rsid w:val="001F51BE"/>
    <w:rsid w:val="001F6B46"/>
    <w:rsid w:val="001F7E57"/>
    <w:rsid w:val="00201B40"/>
    <w:rsid w:val="00205259"/>
    <w:rsid w:val="00206178"/>
    <w:rsid w:val="00210D83"/>
    <w:rsid w:val="00215D89"/>
    <w:rsid w:val="00216DE0"/>
    <w:rsid w:val="00217CF4"/>
    <w:rsid w:val="00221721"/>
    <w:rsid w:val="00223C84"/>
    <w:rsid w:val="002263DF"/>
    <w:rsid w:val="002319C6"/>
    <w:rsid w:val="00231BD3"/>
    <w:rsid w:val="002329B1"/>
    <w:rsid w:val="00235AC3"/>
    <w:rsid w:val="00240D2F"/>
    <w:rsid w:val="002515B5"/>
    <w:rsid w:val="00254E01"/>
    <w:rsid w:val="00256729"/>
    <w:rsid w:val="002571E9"/>
    <w:rsid w:val="00260B35"/>
    <w:rsid w:val="00261C23"/>
    <w:rsid w:val="0027184B"/>
    <w:rsid w:val="00273346"/>
    <w:rsid w:val="002811B7"/>
    <w:rsid w:val="00282A36"/>
    <w:rsid w:val="00286ACD"/>
    <w:rsid w:val="00293833"/>
    <w:rsid w:val="00293FE4"/>
    <w:rsid w:val="002A128D"/>
    <w:rsid w:val="002A5D13"/>
    <w:rsid w:val="002B0974"/>
    <w:rsid w:val="002B104F"/>
    <w:rsid w:val="002B4A70"/>
    <w:rsid w:val="002B53DE"/>
    <w:rsid w:val="002B5F24"/>
    <w:rsid w:val="002B7CFE"/>
    <w:rsid w:val="002C2F3A"/>
    <w:rsid w:val="002C5406"/>
    <w:rsid w:val="002D1216"/>
    <w:rsid w:val="002D38B1"/>
    <w:rsid w:val="002D6625"/>
    <w:rsid w:val="002D7266"/>
    <w:rsid w:val="002D7619"/>
    <w:rsid w:val="002D7A9A"/>
    <w:rsid w:val="002E19D0"/>
    <w:rsid w:val="002E52B0"/>
    <w:rsid w:val="002F1136"/>
    <w:rsid w:val="002F35D0"/>
    <w:rsid w:val="002F41A4"/>
    <w:rsid w:val="002F7DF8"/>
    <w:rsid w:val="00301F7C"/>
    <w:rsid w:val="00304296"/>
    <w:rsid w:val="00305AC7"/>
    <w:rsid w:val="00307DC9"/>
    <w:rsid w:val="00311401"/>
    <w:rsid w:val="00313AB3"/>
    <w:rsid w:val="00315C3F"/>
    <w:rsid w:val="00317229"/>
    <w:rsid w:val="003177B3"/>
    <w:rsid w:val="00321481"/>
    <w:rsid w:val="00321520"/>
    <w:rsid w:val="00323B0B"/>
    <w:rsid w:val="0032702C"/>
    <w:rsid w:val="003302B8"/>
    <w:rsid w:val="00330A15"/>
    <w:rsid w:val="00330D24"/>
    <w:rsid w:val="00330F25"/>
    <w:rsid w:val="003318E7"/>
    <w:rsid w:val="0033625A"/>
    <w:rsid w:val="003433ED"/>
    <w:rsid w:val="00344212"/>
    <w:rsid w:val="00344F3A"/>
    <w:rsid w:val="0034505C"/>
    <w:rsid w:val="00345D18"/>
    <w:rsid w:val="00346C30"/>
    <w:rsid w:val="003639FE"/>
    <w:rsid w:val="003656EE"/>
    <w:rsid w:val="00365F50"/>
    <w:rsid w:val="003673C3"/>
    <w:rsid w:val="00370503"/>
    <w:rsid w:val="00371FDE"/>
    <w:rsid w:val="0037224A"/>
    <w:rsid w:val="00375446"/>
    <w:rsid w:val="00395B3A"/>
    <w:rsid w:val="003A1C6D"/>
    <w:rsid w:val="003A3021"/>
    <w:rsid w:val="003A3C72"/>
    <w:rsid w:val="003A658E"/>
    <w:rsid w:val="003A7F44"/>
    <w:rsid w:val="003B4BC6"/>
    <w:rsid w:val="003B66E3"/>
    <w:rsid w:val="003B6E0F"/>
    <w:rsid w:val="003D2488"/>
    <w:rsid w:val="003D27A9"/>
    <w:rsid w:val="003D2944"/>
    <w:rsid w:val="003D2FC8"/>
    <w:rsid w:val="003D49CB"/>
    <w:rsid w:val="003D6DC2"/>
    <w:rsid w:val="003D7A0C"/>
    <w:rsid w:val="003E2AAA"/>
    <w:rsid w:val="003E36F7"/>
    <w:rsid w:val="003E3DEE"/>
    <w:rsid w:val="003E47BF"/>
    <w:rsid w:val="003E60FE"/>
    <w:rsid w:val="003E6291"/>
    <w:rsid w:val="003E65B0"/>
    <w:rsid w:val="003F2AE4"/>
    <w:rsid w:val="003F4B75"/>
    <w:rsid w:val="003F6B5D"/>
    <w:rsid w:val="004000B7"/>
    <w:rsid w:val="00400112"/>
    <w:rsid w:val="0040087B"/>
    <w:rsid w:val="00400A60"/>
    <w:rsid w:val="00400FFF"/>
    <w:rsid w:val="00402E67"/>
    <w:rsid w:val="004042D3"/>
    <w:rsid w:val="00404A66"/>
    <w:rsid w:val="004051AE"/>
    <w:rsid w:val="00405FD4"/>
    <w:rsid w:val="00406D58"/>
    <w:rsid w:val="004119F3"/>
    <w:rsid w:val="004209B5"/>
    <w:rsid w:val="00420B8C"/>
    <w:rsid w:val="004321E2"/>
    <w:rsid w:val="00433693"/>
    <w:rsid w:val="00436456"/>
    <w:rsid w:val="00437250"/>
    <w:rsid w:val="0044183D"/>
    <w:rsid w:val="004464BB"/>
    <w:rsid w:val="004465AF"/>
    <w:rsid w:val="004466CF"/>
    <w:rsid w:val="00447235"/>
    <w:rsid w:val="00451ABD"/>
    <w:rsid w:val="004523A5"/>
    <w:rsid w:val="00461B3B"/>
    <w:rsid w:val="00461F65"/>
    <w:rsid w:val="00463007"/>
    <w:rsid w:val="00467D45"/>
    <w:rsid w:val="00480D6E"/>
    <w:rsid w:val="0048355C"/>
    <w:rsid w:val="00485D1C"/>
    <w:rsid w:val="00486BE1"/>
    <w:rsid w:val="004870F7"/>
    <w:rsid w:val="00487B5F"/>
    <w:rsid w:val="0049522A"/>
    <w:rsid w:val="004A5172"/>
    <w:rsid w:val="004B600A"/>
    <w:rsid w:val="004B6CF3"/>
    <w:rsid w:val="004C08A4"/>
    <w:rsid w:val="004C0991"/>
    <w:rsid w:val="004C2175"/>
    <w:rsid w:val="004C2B03"/>
    <w:rsid w:val="004C78DD"/>
    <w:rsid w:val="004D1992"/>
    <w:rsid w:val="004D498F"/>
    <w:rsid w:val="004D4A44"/>
    <w:rsid w:val="004E06FA"/>
    <w:rsid w:val="004E2FE7"/>
    <w:rsid w:val="004E5CF2"/>
    <w:rsid w:val="004E6DA5"/>
    <w:rsid w:val="004F093C"/>
    <w:rsid w:val="004F16A5"/>
    <w:rsid w:val="00505B64"/>
    <w:rsid w:val="0051235E"/>
    <w:rsid w:val="00516471"/>
    <w:rsid w:val="005173BC"/>
    <w:rsid w:val="00522649"/>
    <w:rsid w:val="00524C2A"/>
    <w:rsid w:val="0052532F"/>
    <w:rsid w:val="0052593F"/>
    <w:rsid w:val="00526DCB"/>
    <w:rsid w:val="005306C7"/>
    <w:rsid w:val="005309A2"/>
    <w:rsid w:val="0053138C"/>
    <w:rsid w:val="00531BF6"/>
    <w:rsid w:val="00535DA7"/>
    <w:rsid w:val="00547203"/>
    <w:rsid w:val="00547F6A"/>
    <w:rsid w:val="00552376"/>
    <w:rsid w:val="00552429"/>
    <w:rsid w:val="005578AF"/>
    <w:rsid w:val="00564830"/>
    <w:rsid w:val="00566056"/>
    <w:rsid w:val="00567949"/>
    <w:rsid w:val="00570327"/>
    <w:rsid w:val="005717A3"/>
    <w:rsid w:val="00572443"/>
    <w:rsid w:val="00573D9A"/>
    <w:rsid w:val="005817DA"/>
    <w:rsid w:val="00582146"/>
    <w:rsid w:val="0058353C"/>
    <w:rsid w:val="00586247"/>
    <w:rsid w:val="00593578"/>
    <w:rsid w:val="00593E23"/>
    <w:rsid w:val="005A0DE6"/>
    <w:rsid w:val="005A30D0"/>
    <w:rsid w:val="005B11BA"/>
    <w:rsid w:val="005B4742"/>
    <w:rsid w:val="005B7EC4"/>
    <w:rsid w:val="005C7590"/>
    <w:rsid w:val="005D2298"/>
    <w:rsid w:val="005E2B68"/>
    <w:rsid w:val="005E3D8F"/>
    <w:rsid w:val="005E468A"/>
    <w:rsid w:val="005E4762"/>
    <w:rsid w:val="005E48CF"/>
    <w:rsid w:val="005E5929"/>
    <w:rsid w:val="005F19B9"/>
    <w:rsid w:val="005F3CB0"/>
    <w:rsid w:val="00606E4D"/>
    <w:rsid w:val="006078F8"/>
    <w:rsid w:val="006118FD"/>
    <w:rsid w:val="00616226"/>
    <w:rsid w:val="00621A31"/>
    <w:rsid w:val="00623039"/>
    <w:rsid w:val="00623BF8"/>
    <w:rsid w:val="00632662"/>
    <w:rsid w:val="00640215"/>
    <w:rsid w:val="00640DF8"/>
    <w:rsid w:val="00645352"/>
    <w:rsid w:val="00645549"/>
    <w:rsid w:val="00647574"/>
    <w:rsid w:val="00650C18"/>
    <w:rsid w:val="00654DE0"/>
    <w:rsid w:val="00655D3D"/>
    <w:rsid w:val="00657ED5"/>
    <w:rsid w:val="00661BA9"/>
    <w:rsid w:val="006629F1"/>
    <w:rsid w:val="00664565"/>
    <w:rsid w:val="00667B6D"/>
    <w:rsid w:val="00672AE9"/>
    <w:rsid w:val="00675668"/>
    <w:rsid w:val="0067570E"/>
    <w:rsid w:val="006769CF"/>
    <w:rsid w:val="00681862"/>
    <w:rsid w:val="00682DA6"/>
    <w:rsid w:val="00683C3A"/>
    <w:rsid w:val="00691B65"/>
    <w:rsid w:val="00695B8A"/>
    <w:rsid w:val="006A2F9A"/>
    <w:rsid w:val="006A36A6"/>
    <w:rsid w:val="006B2A33"/>
    <w:rsid w:val="006B4B52"/>
    <w:rsid w:val="006B4D99"/>
    <w:rsid w:val="006B7308"/>
    <w:rsid w:val="006C3245"/>
    <w:rsid w:val="006C5467"/>
    <w:rsid w:val="006C60B7"/>
    <w:rsid w:val="006D36E5"/>
    <w:rsid w:val="006D483C"/>
    <w:rsid w:val="006D5131"/>
    <w:rsid w:val="006E0668"/>
    <w:rsid w:val="006E222A"/>
    <w:rsid w:val="006E2996"/>
    <w:rsid w:val="006E335B"/>
    <w:rsid w:val="006E5216"/>
    <w:rsid w:val="006F0F3E"/>
    <w:rsid w:val="006F3E7F"/>
    <w:rsid w:val="006F7566"/>
    <w:rsid w:val="00702435"/>
    <w:rsid w:val="00704682"/>
    <w:rsid w:val="00704765"/>
    <w:rsid w:val="007047B0"/>
    <w:rsid w:val="007113B2"/>
    <w:rsid w:val="00712852"/>
    <w:rsid w:val="00713230"/>
    <w:rsid w:val="00713BAA"/>
    <w:rsid w:val="00714B8D"/>
    <w:rsid w:val="00723E5D"/>
    <w:rsid w:val="00723EAC"/>
    <w:rsid w:val="00723F28"/>
    <w:rsid w:val="0072410D"/>
    <w:rsid w:val="007319EC"/>
    <w:rsid w:val="00735ECF"/>
    <w:rsid w:val="00741A16"/>
    <w:rsid w:val="00741D2D"/>
    <w:rsid w:val="0074268C"/>
    <w:rsid w:val="00742EAD"/>
    <w:rsid w:val="00743E98"/>
    <w:rsid w:val="00745C2D"/>
    <w:rsid w:val="0075072F"/>
    <w:rsid w:val="007554D1"/>
    <w:rsid w:val="00756416"/>
    <w:rsid w:val="007571EC"/>
    <w:rsid w:val="00757568"/>
    <w:rsid w:val="00760B18"/>
    <w:rsid w:val="00762E95"/>
    <w:rsid w:val="00763B96"/>
    <w:rsid w:val="00763F64"/>
    <w:rsid w:val="007645C5"/>
    <w:rsid w:val="0076637B"/>
    <w:rsid w:val="00772337"/>
    <w:rsid w:val="0077304A"/>
    <w:rsid w:val="007742DC"/>
    <w:rsid w:val="00774B98"/>
    <w:rsid w:val="00776149"/>
    <w:rsid w:val="007849FE"/>
    <w:rsid w:val="00784DC9"/>
    <w:rsid w:val="00785CC0"/>
    <w:rsid w:val="00787291"/>
    <w:rsid w:val="00787906"/>
    <w:rsid w:val="00794371"/>
    <w:rsid w:val="00796CAC"/>
    <w:rsid w:val="007A4A11"/>
    <w:rsid w:val="007B001D"/>
    <w:rsid w:val="007B1D85"/>
    <w:rsid w:val="007B23D2"/>
    <w:rsid w:val="007B465F"/>
    <w:rsid w:val="007C4EE6"/>
    <w:rsid w:val="007C6906"/>
    <w:rsid w:val="007C7E66"/>
    <w:rsid w:val="007D236C"/>
    <w:rsid w:val="007D4297"/>
    <w:rsid w:val="007D45FF"/>
    <w:rsid w:val="007D476C"/>
    <w:rsid w:val="007D4C08"/>
    <w:rsid w:val="007D66CD"/>
    <w:rsid w:val="007E06F2"/>
    <w:rsid w:val="007E6715"/>
    <w:rsid w:val="007F067F"/>
    <w:rsid w:val="007F2B96"/>
    <w:rsid w:val="007F3613"/>
    <w:rsid w:val="007F5D2D"/>
    <w:rsid w:val="007F5D77"/>
    <w:rsid w:val="00802171"/>
    <w:rsid w:val="0080302D"/>
    <w:rsid w:val="008063EC"/>
    <w:rsid w:val="0080718F"/>
    <w:rsid w:val="00807541"/>
    <w:rsid w:val="00812C48"/>
    <w:rsid w:val="008144F5"/>
    <w:rsid w:val="008209ED"/>
    <w:rsid w:val="0082792B"/>
    <w:rsid w:val="008306E3"/>
    <w:rsid w:val="00832205"/>
    <w:rsid w:val="00834BB5"/>
    <w:rsid w:val="008358B6"/>
    <w:rsid w:val="00835C91"/>
    <w:rsid w:val="00837A97"/>
    <w:rsid w:val="008403D3"/>
    <w:rsid w:val="00840649"/>
    <w:rsid w:val="0084256A"/>
    <w:rsid w:val="00842CFC"/>
    <w:rsid w:val="00844057"/>
    <w:rsid w:val="00854CEF"/>
    <w:rsid w:val="00855CC3"/>
    <w:rsid w:val="00856ACF"/>
    <w:rsid w:val="0085757C"/>
    <w:rsid w:val="008601A7"/>
    <w:rsid w:val="0086133A"/>
    <w:rsid w:val="0087119B"/>
    <w:rsid w:val="0087147B"/>
    <w:rsid w:val="008719D7"/>
    <w:rsid w:val="00875C75"/>
    <w:rsid w:val="00876310"/>
    <w:rsid w:val="008772A4"/>
    <w:rsid w:val="00882862"/>
    <w:rsid w:val="00886588"/>
    <w:rsid w:val="0089146E"/>
    <w:rsid w:val="008961A7"/>
    <w:rsid w:val="00896ED0"/>
    <w:rsid w:val="008A27CE"/>
    <w:rsid w:val="008A5DF9"/>
    <w:rsid w:val="008A604C"/>
    <w:rsid w:val="008B3554"/>
    <w:rsid w:val="008B5456"/>
    <w:rsid w:val="008B64A0"/>
    <w:rsid w:val="008B741A"/>
    <w:rsid w:val="008C02BD"/>
    <w:rsid w:val="008C02E3"/>
    <w:rsid w:val="008C0FB2"/>
    <w:rsid w:val="008C1972"/>
    <w:rsid w:val="008C2A6A"/>
    <w:rsid w:val="008C4D45"/>
    <w:rsid w:val="008D1C58"/>
    <w:rsid w:val="008D1FE0"/>
    <w:rsid w:val="008D2466"/>
    <w:rsid w:val="008D2697"/>
    <w:rsid w:val="008D26AC"/>
    <w:rsid w:val="008D4836"/>
    <w:rsid w:val="008D68B7"/>
    <w:rsid w:val="008E18D6"/>
    <w:rsid w:val="008E5606"/>
    <w:rsid w:val="008E56A8"/>
    <w:rsid w:val="008E5712"/>
    <w:rsid w:val="008E7BC1"/>
    <w:rsid w:val="008F097D"/>
    <w:rsid w:val="008F0D23"/>
    <w:rsid w:val="008F1868"/>
    <w:rsid w:val="008F32C9"/>
    <w:rsid w:val="008F7DA4"/>
    <w:rsid w:val="00902446"/>
    <w:rsid w:val="0090525D"/>
    <w:rsid w:val="0090544E"/>
    <w:rsid w:val="00906802"/>
    <w:rsid w:val="00906A41"/>
    <w:rsid w:val="00906C9E"/>
    <w:rsid w:val="009126BC"/>
    <w:rsid w:val="00914A2E"/>
    <w:rsid w:val="0092074E"/>
    <w:rsid w:val="00922BBF"/>
    <w:rsid w:val="0093406E"/>
    <w:rsid w:val="00936581"/>
    <w:rsid w:val="0094085F"/>
    <w:rsid w:val="00945E7E"/>
    <w:rsid w:val="00946AEF"/>
    <w:rsid w:val="00951B43"/>
    <w:rsid w:val="009539A1"/>
    <w:rsid w:val="00956552"/>
    <w:rsid w:val="009574D7"/>
    <w:rsid w:val="00961B8B"/>
    <w:rsid w:val="00963A3D"/>
    <w:rsid w:val="00964B41"/>
    <w:rsid w:val="009677FC"/>
    <w:rsid w:val="00970F6B"/>
    <w:rsid w:val="009719B6"/>
    <w:rsid w:val="00971DCB"/>
    <w:rsid w:val="009744BC"/>
    <w:rsid w:val="009836EE"/>
    <w:rsid w:val="0098402C"/>
    <w:rsid w:val="0098585F"/>
    <w:rsid w:val="00990847"/>
    <w:rsid w:val="009920F2"/>
    <w:rsid w:val="009A11FC"/>
    <w:rsid w:val="009A1848"/>
    <w:rsid w:val="009A2124"/>
    <w:rsid w:val="009A2AC0"/>
    <w:rsid w:val="009A2FB9"/>
    <w:rsid w:val="009A3EEF"/>
    <w:rsid w:val="009A4DF4"/>
    <w:rsid w:val="009B19B8"/>
    <w:rsid w:val="009B7FC2"/>
    <w:rsid w:val="009C1EB6"/>
    <w:rsid w:val="009C230E"/>
    <w:rsid w:val="009C29D9"/>
    <w:rsid w:val="009C3FD0"/>
    <w:rsid w:val="009D02A5"/>
    <w:rsid w:val="009D0ABC"/>
    <w:rsid w:val="009D31BC"/>
    <w:rsid w:val="009D3C28"/>
    <w:rsid w:val="009D5437"/>
    <w:rsid w:val="009D7D2F"/>
    <w:rsid w:val="009E3BA1"/>
    <w:rsid w:val="009E5F9E"/>
    <w:rsid w:val="009E756F"/>
    <w:rsid w:val="009E78D6"/>
    <w:rsid w:val="009F07AB"/>
    <w:rsid w:val="009F294F"/>
    <w:rsid w:val="009F6971"/>
    <w:rsid w:val="009F7CDE"/>
    <w:rsid w:val="00A00F10"/>
    <w:rsid w:val="00A023F6"/>
    <w:rsid w:val="00A0617A"/>
    <w:rsid w:val="00A16093"/>
    <w:rsid w:val="00A2149A"/>
    <w:rsid w:val="00A31EAE"/>
    <w:rsid w:val="00A3300F"/>
    <w:rsid w:val="00A33119"/>
    <w:rsid w:val="00A34C98"/>
    <w:rsid w:val="00A41440"/>
    <w:rsid w:val="00A4795C"/>
    <w:rsid w:val="00A54D14"/>
    <w:rsid w:val="00A56B79"/>
    <w:rsid w:val="00A57D48"/>
    <w:rsid w:val="00A729A5"/>
    <w:rsid w:val="00A741A4"/>
    <w:rsid w:val="00A75395"/>
    <w:rsid w:val="00A81776"/>
    <w:rsid w:val="00A82023"/>
    <w:rsid w:val="00A8411E"/>
    <w:rsid w:val="00A84EE4"/>
    <w:rsid w:val="00A875E9"/>
    <w:rsid w:val="00A90035"/>
    <w:rsid w:val="00A9040A"/>
    <w:rsid w:val="00A907EE"/>
    <w:rsid w:val="00A90B1F"/>
    <w:rsid w:val="00A92176"/>
    <w:rsid w:val="00A95174"/>
    <w:rsid w:val="00A95AFF"/>
    <w:rsid w:val="00A962F9"/>
    <w:rsid w:val="00A974AE"/>
    <w:rsid w:val="00AA2A94"/>
    <w:rsid w:val="00AA2EDE"/>
    <w:rsid w:val="00AA70BF"/>
    <w:rsid w:val="00AB3A35"/>
    <w:rsid w:val="00AB4C6B"/>
    <w:rsid w:val="00AB5BD8"/>
    <w:rsid w:val="00AB7B3D"/>
    <w:rsid w:val="00AC057A"/>
    <w:rsid w:val="00AC5E59"/>
    <w:rsid w:val="00AD0FD6"/>
    <w:rsid w:val="00AD1B26"/>
    <w:rsid w:val="00AE026F"/>
    <w:rsid w:val="00AE0528"/>
    <w:rsid w:val="00AE2E1F"/>
    <w:rsid w:val="00AE3185"/>
    <w:rsid w:val="00AE3349"/>
    <w:rsid w:val="00AE34FF"/>
    <w:rsid w:val="00AE395D"/>
    <w:rsid w:val="00AE3B37"/>
    <w:rsid w:val="00AE524B"/>
    <w:rsid w:val="00AE556D"/>
    <w:rsid w:val="00AE641A"/>
    <w:rsid w:val="00AE7D06"/>
    <w:rsid w:val="00AF096E"/>
    <w:rsid w:val="00AF1708"/>
    <w:rsid w:val="00AF3ABD"/>
    <w:rsid w:val="00AF636F"/>
    <w:rsid w:val="00AF6A11"/>
    <w:rsid w:val="00B01948"/>
    <w:rsid w:val="00B04920"/>
    <w:rsid w:val="00B135EA"/>
    <w:rsid w:val="00B171FA"/>
    <w:rsid w:val="00B20833"/>
    <w:rsid w:val="00B21481"/>
    <w:rsid w:val="00B21D9A"/>
    <w:rsid w:val="00B2267E"/>
    <w:rsid w:val="00B229D9"/>
    <w:rsid w:val="00B23C76"/>
    <w:rsid w:val="00B24055"/>
    <w:rsid w:val="00B242C7"/>
    <w:rsid w:val="00B24F58"/>
    <w:rsid w:val="00B318CD"/>
    <w:rsid w:val="00B335C9"/>
    <w:rsid w:val="00B34644"/>
    <w:rsid w:val="00B3599F"/>
    <w:rsid w:val="00B45379"/>
    <w:rsid w:val="00B52918"/>
    <w:rsid w:val="00B5463B"/>
    <w:rsid w:val="00B55DA4"/>
    <w:rsid w:val="00B55E41"/>
    <w:rsid w:val="00B60ABD"/>
    <w:rsid w:val="00B65405"/>
    <w:rsid w:val="00B70F3A"/>
    <w:rsid w:val="00B718E0"/>
    <w:rsid w:val="00B71DB8"/>
    <w:rsid w:val="00B73F68"/>
    <w:rsid w:val="00B76DA5"/>
    <w:rsid w:val="00B8043C"/>
    <w:rsid w:val="00B8124E"/>
    <w:rsid w:val="00B90296"/>
    <w:rsid w:val="00B92F6D"/>
    <w:rsid w:val="00B95078"/>
    <w:rsid w:val="00B9650B"/>
    <w:rsid w:val="00B978E0"/>
    <w:rsid w:val="00BA575E"/>
    <w:rsid w:val="00BA78E1"/>
    <w:rsid w:val="00BB012F"/>
    <w:rsid w:val="00BB0CD9"/>
    <w:rsid w:val="00BB33B5"/>
    <w:rsid w:val="00BC5A44"/>
    <w:rsid w:val="00BD5614"/>
    <w:rsid w:val="00BD7591"/>
    <w:rsid w:val="00BD7AD3"/>
    <w:rsid w:val="00BE1AFF"/>
    <w:rsid w:val="00BE4C70"/>
    <w:rsid w:val="00BF35C8"/>
    <w:rsid w:val="00BF5DFB"/>
    <w:rsid w:val="00C07A3D"/>
    <w:rsid w:val="00C14C51"/>
    <w:rsid w:val="00C16744"/>
    <w:rsid w:val="00C16F62"/>
    <w:rsid w:val="00C1703B"/>
    <w:rsid w:val="00C20C38"/>
    <w:rsid w:val="00C21ADE"/>
    <w:rsid w:val="00C301EC"/>
    <w:rsid w:val="00C3086B"/>
    <w:rsid w:val="00C312C1"/>
    <w:rsid w:val="00C32F41"/>
    <w:rsid w:val="00C35C0E"/>
    <w:rsid w:val="00C35E6F"/>
    <w:rsid w:val="00C36AF2"/>
    <w:rsid w:val="00C37084"/>
    <w:rsid w:val="00C44173"/>
    <w:rsid w:val="00C47D2D"/>
    <w:rsid w:val="00C50CF3"/>
    <w:rsid w:val="00C53117"/>
    <w:rsid w:val="00C57A6C"/>
    <w:rsid w:val="00C64737"/>
    <w:rsid w:val="00C6633A"/>
    <w:rsid w:val="00C708DD"/>
    <w:rsid w:val="00C70CB9"/>
    <w:rsid w:val="00C73060"/>
    <w:rsid w:val="00C73250"/>
    <w:rsid w:val="00C75A34"/>
    <w:rsid w:val="00C75B1E"/>
    <w:rsid w:val="00C80298"/>
    <w:rsid w:val="00C80E91"/>
    <w:rsid w:val="00C93A5B"/>
    <w:rsid w:val="00C96C15"/>
    <w:rsid w:val="00CA26B7"/>
    <w:rsid w:val="00CA3CD6"/>
    <w:rsid w:val="00CA4FB6"/>
    <w:rsid w:val="00CA73C4"/>
    <w:rsid w:val="00CA759B"/>
    <w:rsid w:val="00CA7EAA"/>
    <w:rsid w:val="00CB2FAB"/>
    <w:rsid w:val="00CB3920"/>
    <w:rsid w:val="00CB41C2"/>
    <w:rsid w:val="00CB5BBE"/>
    <w:rsid w:val="00CB5E27"/>
    <w:rsid w:val="00CC56F0"/>
    <w:rsid w:val="00CD6B22"/>
    <w:rsid w:val="00CD7A7F"/>
    <w:rsid w:val="00CE621F"/>
    <w:rsid w:val="00CE6729"/>
    <w:rsid w:val="00CE7579"/>
    <w:rsid w:val="00CE7B7A"/>
    <w:rsid w:val="00CF0787"/>
    <w:rsid w:val="00CF5E11"/>
    <w:rsid w:val="00CF5E71"/>
    <w:rsid w:val="00CF73C8"/>
    <w:rsid w:val="00D00131"/>
    <w:rsid w:val="00D0014D"/>
    <w:rsid w:val="00D01A01"/>
    <w:rsid w:val="00D01AB4"/>
    <w:rsid w:val="00D024D2"/>
    <w:rsid w:val="00D0411B"/>
    <w:rsid w:val="00D06278"/>
    <w:rsid w:val="00D15A7C"/>
    <w:rsid w:val="00D20638"/>
    <w:rsid w:val="00D2340A"/>
    <w:rsid w:val="00D32565"/>
    <w:rsid w:val="00D33EAB"/>
    <w:rsid w:val="00D36C1D"/>
    <w:rsid w:val="00D43520"/>
    <w:rsid w:val="00D45243"/>
    <w:rsid w:val="00D46156"/>
    <w:rsid w:val="00D464C4"/>
    <w:rsid w:val="00D47CCC"/>
    <w:rsid w:val="00D50292"/>
    <w:rsid w:val="00D56134"/>
    <w:rsid w:val="00D56197"/>
    <w:rsid w:val="00D56D0F"/>
    <w:rsid w:val="00D6656C"/>
    <w:rsid w:val="00D67815"/>
    <w:rsid w:val="00D724FC"/>
    <w:rsid w:val="00D762FD"/>
    <w:rsid w:val="00D76982"/>
    <w:rsid w:val="00D77FAA"/>
    <w:rsid w:val="00D810DD"/>
    <w:rsid w:val="00D851BD"/>
    <w:rsid w:val="00D907D0"/>
    <w:rsid w:val="00D92D45"/>
    <w:rsid w:val="00D9492F"/>
    <w:rsid w:val="00DA196E"/>
    <w:rsid w:val="00DA7D48"/>
    <w:rsid w:val="00DB5FFC"/>
    <w:rsid w:val="00DB6367"/>
    <w:rsid w:val="00DB6576"/>
    <w:rsid w:val="00DC08E3"/>
    <w:rsid w:val="00DC54A4"/>
    <w:rsid w:val="00DC7198"/>
    <w:rsid w:val="00DC7B90"/>
    <w:rsid w:val="00DD0B0B"/>
    <w:rsid w:val="00DD0B81"/>
    <w:rsid w:val="00DD3FDD"/>
    <w:rsid w:val="00DD402D"/>
    <w:rsid w:val="00DE19CD"/>
    <w:rsid w:val="00DE1C06"/>
    <w:rsid w:val="00DE1DFB"/>
    <w:rsid w:val="00DE2EA4"/>
    <w:rsid w:val="00DF5FAB"/>
    <w:rsid w:val="00DF7A50"/>
    <w:rsid w:val="00DF7F9C"/>
    <w:rsid w:val="00E00D7D"/>
    <w:rsid w:val="00E02D70"/>
    <w:rsid w:val="00E03477"/>
    <w:rsid w:val="00E057C1"/>
    <w:rsid w:val="00E11297"/>
    <w:rsid w:val="00E1162B"/>
    <w:rsid w:val="00E1553A"/>
    <w:rsid w:val="00E16B43"/>
    <w:rsid w:val="00E16D57"/>
    <w:rsid w:val="00E20BE9"/>
    <w:rsid w:val="00E215A5"/>
    <w:rsid w:val="00E245DA"/>
    <w:rsid w:val="00E2493A"/>
    <w:rsid w:val="00E31575"/>
    <w:rsid w:val="00E34851"/>
    <w:rsid w:val="00E446F5"/>
    <w:rsid w:val="00E466CC"/>
    <w:rsid w:val="00E50604"/>
    <w:rsid w:val="00E50B63"/>
    <w:rsid w:val="00E50C2D"/>
    <w:rsid w:val="00E52568"/>
    <w:rsid w:val="00E537A6"/>
    <w:rsid w:val="00E54EA0"/>
    <w:rsid w:val="00E61859"/>
    <w:rsid w:val="00E61A48"/>
    <w:rsid w:val="00E61FA5"/>
    <w:rsid w:val="00E631AC"/>
    <w:rsid w:val="00E655C0"/>
    <w:rsid w:val="00E6607A"/>
    <w:rsid w:val="00E7155C"/>
    <w:rsid w:val="00E73214"/>
    <w:rsid w:val="00E74823"/>
    <w:rsid w:val="00E755A8"/>
    <w:rsid w:val="00E75C1E"/>
    <w:rsid w:val="00E77EEF"/>
    <w:rsid w:val="00E80E85"/>
    <w:rsid w:val="00E82E30"/>
    <w:rsid w:val="00E83FBD"/>
    <w:rsid w:val="00E84E05"/>
    <w:rsid w:val="00E93862"/>
    <w:rsid w:val="00E95B2A"/>
    <w:rsid w:val="00E9715E"/>
    <w:rsid w:val="00EA39FE"/>
    <w:rsid w:val="00EA662E"/>
    <w:rsid w:val="00EB109E"/>
    <w:rsid w:val="00EB2DD9"/>
    <w:rsid w:val="00EB6050"/>
    <w:rsid w:val="00EB6D03"/>
    <w:rsid w:val="00EC247F"/>
    <w:rsid w:val="00EC5D6C"/>
    <w:rsid w:val="00ED0D26"/>
    <w:rsid w:val="00ED1252"/>
    <w:rsid w:val="00ED43EC"/>
    <w:rsid w:val="00ED619D"/>
    <w:rsid w:val="00ED6F65"/>
    <w:rsid w:val="00EE335B"/>
    <w:rsid w:val="00EF0A5B"/>
    <w:rsid w:val="00EF3530"/>
    <w:rsid w:val="00F0159F"/>
    <w:rsid w:val="00F01BB7"/>
    <w:rsid w:val="00F023C8"/>
    <w:rsid w:val="00F03C27"/>
    <w:rsid w:val="00F1250B"/>
    <w:rsid w:val="00F1585E"/>
    <w:rsid w:val="00F1648E"/>
    <w:rsid w:val="00F21CD0"/>
    <w:rsid w:val="00F22A86"/>
    <w:rsid w:val="00F25638"/>
    <w:rsid w:val="00F36F48"/>
    <w:rsid w:val="00F3782F"/>
    <w:rsid w:val="00F43C9D"/>
    <w:rsid w:val="00F467B2"/>
    <w:rsid w:val="00F50DBD"/>
    <w:rsid w:val="00F547EB"/>
    <w:rsid w:val="00F548CE"/>
    <w:rsid w:val="00F56776"/>
    <w:rsid w:val="00F60003"/>
    <w:rsid w:val="00F636E6"/>
    <w:rsid w:val="00F67AEA"/>
    <w:rsid w:val="00F7017C"/>
    <w:rsid w:val="00F7406E"/>
    <w:rsid w:val="00F74DEB"/>
    <w:rsid w:val="00F831FC"/>
    <w:rsid w:val="00F83709"/>
    <w:rsid w:val="00F84131"/>
    <w:rsid w:val="00F9784F"/>
    <w:rsid w:val="00FA24ED"/>
    <w:rsid w:val="00FA2BF4"/>
    <w:rsid w:val="00FB01DA"/>
    <w:rsid w:val="00FB2D58"/>
    <w:rsid w:val="00FC07E6"/>
    <w:rsid w:val="00FC4BD5"/>
    <w:rsid w:val="00FC6AB3"/>
    <w:rsid w:val="00FD10BE"/>
    <w:rsid w:val="00FD6311"/>
    <w:rsid w:val="00FE17A6"/>
    <w:rsid w:val="00FE33D9"/>
    <w:rsid w:val="00FE53DA"/>
    <w:rsid w:val="00FF6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DD5B"/>
  <w15:docId w15:val="{30B23920-8634-496F-82E8-3EC48B74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5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802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75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w:basedOn w:val="Normal"/>
    <w:link w:val="ListParagraphChar"/>
    <w:uiPriority w:val="34"/>
    <w:qFormat/>
    <w:rsid w:val="005B7EC4"/>
    <w:pPr>
      <w:ind w:left="720"/>
      <w:contextualSpacing/>
    </w:pPr>
  </w:style>
  <w:style w:type="character" w:customStyle="1" w:styleId="ListParagraphChar">
    <w:name w:val="List Paragraph Char"/>
    <w:aliases w:val="List Paragraph Red Char"/>
    <w:link w:val="ListParagraph"/>
    <w:uiPriority w:val="34"/>
    <w:locked/>
    <w:rsid w:val="005B7EC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3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7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E0668"/>
    <w:rPr>
      <w:sz w:val="20"/>
    </w:rPr>
  </w:style>
  <w:style w:type="character" w:customStyle="1" w:styleId="FootnoteTextChar">
    <w:name w:val="Footnote Text Char"/>
    <w:basedOn w:val="DefaultParagraphFont"/>
    <w:link w:val="FootnoteText"/>
    <w:uiPriority w:val="99"/>
    <w:semiHidden/>
    <w:rsid w:val="006E06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668"/>
    <w:rPr>
      <w:vertAlign w:val="superscript"/>
    </w:rPr>
  </w:style>
  <w:style w:type="character" w:styleId="Hyperlink">
    <w:name w:val="Hyperlink"/>
    <w:basedOn w:val="DefaultParagraphFont"/>
    <w:uiPriority w:val="99"/>
    <w:unhideWhenUsed/>
    <w:rsid w:val="006E0668"/>
    <w:rPr>
      <w:color w:val="0000FF" w:themeColor="hyperlink"/>
      <w:u w:val="single"/>
    </w:rPr>
  </w:style>
  <w:style w:type="paragraph" w:styleId="Header">
    <w:name w:val="header"/>
    <w:basedOn w:val="Normal"/>
    <w:link w:val="HeaderChar"/>
    <w:uiPriority w:val="99"/>
    <w:unhideWhenUsed/>
    <w:rsid w:val="00201B40"/>
    <w:pPr>
      <w:tabs>
        <w:tab w:val="center" w:pos="4680"/>
        <w:tab w:val="right" w:pos="9360"/>
      </w:tabs>
    </w:pPr>
  </w:style>
  <w:style w:type="character" w:customStyle="1" w:styleId="HeaderChar">
    <w:name w:val="Header Char"/>
    <w:basedOn w:val="DefaultParagraphFont"/>
    <w:link w:val="Header"/>
    <w:uiPriority w:val="99"/>
    <w:rsid w:val="00201B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1B40"/>
    <w:pPr>
      <w:tabs>
        <w:tab w:val="center" w:pos="4680"/>
        <w:tab w:val="right" w:pos="9360"/>
      </w:tabs>
    </w:pPr>
  </w:style>
  <w:style w:type="character" w:customStyle="1" w:styleId="FooterChar">
    <w:name w:val="Footer Char"/>
    <w:basedOn w:val="DefaultParagraphFont"/>
    <w:link w:val="Footer"/>
    <w:uiPriority w:val="99"/>
    <w:rsid w:val="00201B40"/>
    <w:rPr>
      <w:rFonts w:ascii="Times New Roman" w:eastAsia="Times New Roman" w:hAnsi="Times New Roman" w:cs="Times New Roman"/>
      <w:sz w:val="24"/>
      <w:szCs w:val="20"/>
    </w:rPr>
  </w:style>
  <w:style w:type="paragraph" w:styleId="NormalWeb">
    <w:name w:val="Normal (Web)"/>
    <w:basedOn w:val="Normal"/>
    <w:uiPriority w:val="99"/>
    <w:semiHidden/>
    <w:unhideWhenUsed/>
    <w:rsid w:val="001344FB"/>
    <w:pPr>
      <w:spacing w:before="100" w:beforeAutospacing="1" w:after="100" w:afterAutospacing="1"/>
    </w:pPr>
  </w:style>
  <w:style w:type="character" w:styleId="CommentReference">
    <w:name w:val="annotation reference"/>
    <w:basedOn w:val="DefaultParagraphFont"/>
    <w:uiPriority w:val="99"/>
    <w:semiHidden/>
    <w:unhideWhenUsed/>
    <w:rsid w:val="00886588"/>
    <w:rPr>
      <w:sz w:val="16"/>
      <w:szCs w:val="16"/>
    </w:rPr>
  </w:style>
  <w:style w:type="paragraph" w:styleId="CommentText">
    <w:name w:val="annotation text"/>
    <w:basedOn w:val="Normal"/>
    <w:link w:val="CommentTextChar"/>
    <w:uiPriority w:val="99"/>
    <w:semiHidden/>
    <w:unhideWhenUsed/>
    <w:rsid w:val="00886588"/>
    <w:rPr>
      <w:sz w:val="20"/>
      <w:szCs w:val="20"/>
    </w:rPr>
  </w:style>
  <w:style w:type="character" w:customStyle="1" w:styleId="CommentTextChar">
    <w:name w:val="Comment Text Char"/>
    <w:basedOn w:val="DefaultParagraphFont"/>
    <w:link w:val="CommentText"/>
    <w:uiPriority w:val="99"/>
    <w:semiHidden/>
    <w:rsid w:val="008865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86588"/>
    <w:rPr>
      <w:b/>
      <w:bCs/>
    </w:rPr>
  </w:style>
  <w:style w:type="character" w:customStyle="1" w:styleId="CommentSubjectChar">
    <w:name w:val="Comment Subject Char"/>
    <w:basedOn w:val="CommentTextChar"/>
    <w:link w:val="CommentSubject"/>
    <w:uiPriority w:val="99"/>
    <w:semiHidden/>
    <w:rsid w:val="00886588"/>
    <w:rPr>
      <w:rFonts w:ascii="Times New Roman" w:eastAsia="Times New Roman" w:hAnsi="Times New Roman" w:cs="Times New Roman"/>
      <w:b/>
      <w:bCs/>
      <w:sz w:val="20"/>
      <w:szCs w:val="20"/>
      <w:lang w:val="en-US"/>
    </w:rPr>
  </w:style>
  <w:style w:type="paragraph" w:styleId="Revision">
    <w:name w:val="Revision"/>
    <w:hidden/>
    <w:uiPriority w:val="99"/>
    <w:semiHidden/>
    <w:rsid w:val="007F5D2D"/>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80298"/>
    <w:rPr>
      <w:rFonts w:asciiTheme="majorHAnsi" w:eastAsiaTheme="majorEastAsia" w:hAnsiTheme="majorHAnsi" w:cstheme="majorBidi"/>
      <w:color w:val="365F91" w:themeColor="accent1" w:themeShade="BF"/>
      <w:sz w:val="32"/>
      <w:szCs w:val="32"/>
      <w:lang w:val="en-US"/>
    </w:rPr>
  </w:style>
  <w:style w:type="character" w:customStyle="1" w:styleId="ng-binding">
    <w:name w:val="ng-binding"/>
    <w:basedOn w:val="DefaultParagraphFont"/>
    <w:rsid w:val="00552376"/>
  </w:style>
  <w:style w:type="character" w:customStyle="1" w:styleId="Heading2Char">
    <w:name w:val="Heading 2 Char"/>
    <w:basedOn w:val="DefaultParagraphFont"/>
    <w:link w:val="Heading2"/>
    <w:uiPriority w:val="9"/>
    <w:semiHidden/>
    <w:rsid w:val="005C7590"/>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4085">
      <w:bodyDiv w:val="1"/>
      <w:marLeft w:val="0"/>
      <w:marRight w:val="0"/>
      <w:marTop w:val="0"/>
      <w:marBottom w:val="0"/>
      <w:divBdr>
        <w:top w:val="none" w:sz="0" w:space="0" w:color="auto"/>
        <w:left w:val="none" w:sz="0" w:space="0" w:color="auto"/>
        <w:bottom w:val="none" w:sz="0" w:space="0" w:color="auto"/>
        <w:right w:val="none" w:sz="0" w:space="0" w:color="auto"/>
      </w:divBdr>
    </w:div>
    <w:div w:id="412973060">
      <w:bodyDiv w:val="1"/>
      <w:marLeft w:val="0"/>
      <w:marRight w:val="0"/>
      <w:marTop w:val="0"/>
      <w:marBottom w:val="0"/>
      <w:divBdr>
        <w:top w:val="none" w:sz="0" w:space="0" w:color="auto"/>
        <w:left w:val="none" w:sz="0" w:space="0" w:color="auto"/>
        <w:bottom w:val="none" w:sz="0" w:space="0" w:color="auto"/>
        <w:right w:val="none" w:sz="0" w:space="0" w:color="auto"/>
      </w:divBdr>
    </w:div>
    <w:div w:id="491799682">
      <w:bodyDiv w:val="1"/>
      <w:marLeft w:val="0"/>
      <w:marRight w:val="0"/>
      <w:marTop w:val="0"/>
      <w:marBottom w:val="0"/>
      <w:divBdr>
        <w:top w:val="none" w:sz="0" w:space="0" w:color="auto"/>
        <w:left w:val="none" w:sz="0" w:space="0" w:color="auto"/>
        <w:bottom w:val="none" w:sz="0" w:space="0" w:color="auto"/>
        <w:right w:val="none" w:sz="0" w:space="0" w:color="auto"/>
      </w:divBdr>
    </w:div>
    <w:div w:id="550580422">
      <w:bodyDiv w:val="1"/>
      <w:marLeft w:val="0"/>
      <w:marRight w:val="0"/>
      <w:marTop w:val="0"/>
      <w:marBottom w:val="0"/>
      <w:divBdr>
        <w:top w:val="none" w:sz="0" w:space="0" w:color="auto"/>
        <w:left w:val="none" w:sz="0" w:space="0" w:color="auto"/>
        <w:bottom w:val="none" w:sz="0" w:space="0" w:color="auto"/>
        <w:right w:val="none" w:sz="0" w:space="0" w:color="auto"/>
      </w:divBdr>
    </w:div>
    <w:div w:id="752166756">
      <w:bodyDiv w:val="1"/>
      <w:marLeft w:val="0"/>
      <w:marRight w:val="0"/>
      <w:marTop w:val="0"/>
      <w:marBottom w:val="0"/>
      <w:divBdr>
        <w:top w:val="none" w:sz="0" w:space="0" w:color="auto"/>
        <w:left w:val="none" w:sz="0" w:space="0" w:color="auto"/>
        <w:bottom w:val="none" w:sz="0" w:space="0" w:color="auto"/>
        <w:right w:val="none" w:sz="0" w:space="0" w:color="auto"/>
      </w:divBdr>
      <w:divsChild>
        <w:div w:id="824275874">
          <w:marLeft w:val="0"/>
          <w:marRight w:val="0"/>
          <w:marTop w:val="0"/>
          <w:marBottom w:val="0"/>
          <w:divBdr>
            <w:top w:val="none" w:sz="0" w:space="0" w:color="auto"/>
            <w:left w:val="none" w:sz="0" w:space="0" w:color="auto"/>
            <w:bottom w:val="none" w:sz="0" w:space="0" w:color="auto"/>
            <w:right w:val="none" w:sz="0" w:space="0" w:color="auto"/>
          </w:divBdr>
        </w:div>
        <w:div w:id="1165439109">
          <w:marLeft w:val="0"/>
          <w:marRight w:val="0"/>
          <w:marTop w:val="0"/>
          <w:marBottom w:val="0"/>
          <w:divBdr>
            <w:top w:val="none" w:sz="0" w:space="0" w:color="auto"/>
            <w:left w:val="none" w:sz="0" w:space="0" w:color="auto"/>
            <w:bottom w:val="none" w:sz="0" w:space="0" w:color="auto"/>
            <w:right w:val="none" w:sz="0" w:space="0" w:color="auto"/>
          </w:divBdr>
        </w:div>
        <w:div w:id="1881748888">
          <w:marLeft w:val="0"/>
          <w:marRight w:val="0"/>
          <w:marTop w:val="0"/>
          <w:marBottom w:val="0"/>
          <w:divBdr>
            <w:top w:val="none" w:sz="0" w:space="0" w:color="auto"/>
            <w:left w:val="none" w:sz="0" w:space="0" w:color="auto"/>
            <w:bottom w:val="none" w:sz="0" w:space="0" w:color="auto"/>
            <w:right w:val="none" w:sz="0" w:space="0" w:color="auto"/>
          </w:divBdr>
        </w:div>
        <w:div w:id="286206823">
          <w:marLeft w:val="0"/>
          <w:marRight w:val="0"/>
          <w:marTop w:val="0"/>
          <w:marBottom w:val="0"/>
          <w:divBdr>
            <w:top w:val="none" w:sz="0" w:space="0" w:color="auto"/>
            <w:left w:val="none" w:sz="0" w:space="0" w:color="auto"/>
            <w:bottom w:val="none" w:sz="0" w:space="0" w:color="auto"/>
            <w:right w:val="none" w:sz="0" w:space="0" w:color="auto"/>
          </w:divBdr>
        </w:div>
      </w:divsChild>
    </w:div>
    <w:div w:id="857308903">
      <w:bodyDiv w:val="1"/>
      <w:marLeft w:val="0"/>
      <w:marRight w:val="0"/>
      <w:marTop w:val="0"/>
      <w:marBottom w:val="0"/>
      <w:divBdr>
        <w:top w:val="none" w:sz="0" w:space="0" w:color="auto"/>
        <w:left w:val="none" w:sz="0" w:space="0" w:color="auto"/>
        <w:bottom w:val="none" w:sz="0" w:space="0" w:color="auto"/>
        <w:right w:val="none" w:sz="0" w:space="0" w:color="auto"/>
      </w:divBdr>
    </w:div>
    <w:div w:id="1013193281">
      <w:bodyDiv w:val="1"/>
      <w:marLeft w:val="0"/>
      <w:marRight w:val="0"/>
      <w:marTop w:val="0"/>
      <w:marBottom w:val="0"/>
      <w:divBdr>
        <w:top w:val="none" w:sz="0" w:space="0" w:color="auto"/>
        <w:left w:val="none" w:sz="0" w:space="0" w:color="auto"/>
        <w:bottom w:val="none" w:sz="0" w:space="0" w:color="auto"/>
        <w:right w:val="none" w:sz="0" w:space="0" w:color="auto"/>
      </w:divBdr>
      <w:divsChild>
        <w:div w:id="1659961502">
          <w:marLeft w:val="0"/>
          <w:marRight w:val="0"/>
          <w:marTop w:val="0"/>
          <w:marBottom w:val="0"/>
          <w:divBdr>
            <w:top w:val="none" w:sz="0" w:space="0" w:color="auto"/>
            <w:left w:val="none" w:sz="0" w:space="0" w:color="auto"/>
            <w:bottom w:val="none" w:sz="0" w:space="0" w:color="auto"/>
            <w:right w:val="none" w:sz="0" w:space="0" w:color="auto"/>
          </w:divBdr>
        </w:div>
      </w:divsChild>
    </w:div>
    <w:div w:id="1121388343">
      <w:bodyDiv w:val="1"/>
      <w:marLeft w:val="0"/>
      <w:marRight w:val="0"/>
      <w:marTop w:val="0"/>
      <w:marBottom w:val="0"/>
      <w:divBdr>
        <w:top w:val="none" w:sz="0" w:space="0" w:color="auto"/>
        <w:left w:val="none" w:sz="0" w:space="0" w:color="auto"/>
        <w:bottom w:val="none" w:sz="0" w:space="0" w:color="auto"/>
        <w:right w:val="none" w:sz="0" w:space="0" w:color="auto"/>
      </w:divBdr>
    </w:div>
    <w:div w:id="1140537822">
      <w:bodyDiv w:val="1"/>
      <w:marLeft w:val="0"/>
      <w:marRight w:val="0"/>
      <w:marTop w:val="0"/>
      <w:marBottom w:val="0"/>
      <w:divBdr>
        <w:top w:val="none" w:sz="0" w:space="0" w:color="auto"/>
        <w:left w:val="none" w:sz="0" w:space="0" w:color="auto"/>
        <w:bottom w:val="none" w:sz="0" w:space="0" w:color="auto"/>
        <w:right w:val="none" w:sz="0" w:space="0" w:color="auto"/>
      </w:divBdr>
    </w:div>
    <w:div w:id="1205213551">
      <w:bodyDiv w:val="1"/>
      <w:marLeft w:val="0"/>
      <w:marRight w:val="0"/>
      <w:marTop w:val="0"/>
      <w:marBottom w:val="0"/>
      <w:divBdr>
        <w:top w:val="none" w:sz="0" w:space="0" w:color="auto"/>
        <w:left w:val="none" w:sz="0" w:space="0" w:color="auto"/>
        <w:bottom w:val="none" w:sz="0" w:space="0" w:color="auto"/>
        <w:right w:val="none" w:sz="0" w:space="0" w:color="auto"/>
      </w:divBdr>
      <w:divsChild>
        <w:div w:id="423309530">
          <w:marLeft w:val="0"/>
          <w:marRight w:val="0"/>
          <w:marTop w:val="0"/>
          <w:marBottom w:val="0"/>
          <w:divBdr>
            <w:top w:val="none" w:sz="0" w:space="0" w:color="auto"/>
            <w:left w:val="none" w:sz="0" w:space="0" w:color="auto"/>
            <w:bottom w:val="none" w:sz="0" w:space="0" w:color="auto"/>
            <w:right w:val="none" w:sz="0" w:space="0" w:color="auto"/>
          </w:divBdr>
        </w:div>
        <w:div w:id="617108023">
          <w:marLeft w:val="0"/>
          <w:marRight w:val="0"/>
          <w:marTop w:val="0"/>
          <w:marBottom w:val="0"/>
          <w:divBdr>
            <w:top w:val="none" w:sz="0" w:space="0" w:color="auto"/>
            <w:left w:val="none" w:sz="0" w:space="0" w:color="auto"/>
            <w:bottom w:val="none" w:sz="0" w:space="0" w:color="auto"/>
            <w:right w:val="none" w:sz="0" w:space="0" w:color="auto"/>
          </w:divBdr>
        </w:div>
        <w:div w:id="748887344">
          <w:marLeft w:val="0"/>
          <w:marRight w:val="0"/>
          <w:marTop w:val="0"/>
          <w:marBottom w:val="0"/>
          <w:divBdr>
            <w:top w:val="none" w:sz="0" w:space="0" w:color="auto"/>
            <w:left w:val="none" w:sz="0" w:space="0" w:color="auto"/>
            <w:bottom w:val="none" w:sz="0" w:space="0" w:color="auto"/>
            <w:right w:val="none" w:sz="0" w:space="0" w:color="auto"/>
          </w:divBdr>
        </w:div>
      </w:divsChild>
    </w:div>
    <w:div w:id="1248265727">
      <w:bodyDiv w:val="1"/>
      <w:marLeft w:val="0"/>
      <w:marRight w:val="0"/>
      <w:marTop w:val="0"/>
      <w:marBottom w:val="0"/>
      <w:divBdr>
        <w:top w:val="none" w:sz="0" w:space="0" w:color="auto"/>
        <w:left w:val="none" w:sz="0" w:space="0" w:color="auto"/>
        <w:bottom w:val="none" w:sz="0" w:space="0" w:color="auto"/>
        <w:right w:val="none" w:sz="0" w:space="0" w:color="auto"/>
      </w:divBdr>
    </w:div>
    <w:div w:id="1380397511">
      <w:bodyDiv w:val="1"/>
      <w:marLeft w:val="0"/>
      <w:marRight w:val="0"/>
      <w:marTop w:val="0"/>
      <w:marBottom w:val="0"/>
      <w:divBdr>
        <w:top w:val="none" w:sz="0" w:space="0" w:color="auto"/>
        <w:left w:val="none" w:sz="0" w:space="0" w:color="auto"/>
        <w:bottom w:val="none" w:sz="0" w:space="0" w:color="auto"/>
        <w:right w:val="none" w:sz="0" w:space="0" w:color="auto"/>
      </w:divBdr>
    </w:div>
    <w:div w:id="1437599245">
      <w:bodyDiv w:val="1"/>
      <w:marLeft w:val="0"/>
      <w:marRight w:val="0"/>
      <w:marTop w:val="0"/>
      <w:marBottom w:val="0"/>
      <w:divBdr>
        <w:top w:val="none" w:sz="0" w:space="0" w:color="auto"/>
        <w:left w:val="none" w:sz="0" w:space="0" w:color="auto"/>
        <w:bottom w:val="none" w:sz="0" w:space="0" w:color="auto"/>
        <w:right w:val="none" w:sz="0" w:space="0" w:color="auto"/>
      </w:divBdr>
    </w:div>
    <w:div w:id="1528834956">
      <w:bodyDiv w:val="1"/>
      <w:marLeft w:val="0"/>
      <w:marRight w:val="0"/>
      <w:marTop w:val="0"/>
      <w:marBottom w:val="0"/>
      <w:divBdr>
        <w:top w:val="none" w:sz="0" w:space="0" w:color="auto"/>
        <w:left w:val="none" w:sz="0" w:space="0" w:color="auto"/>
        <w:bottom w:val="none" w:sz="0" w:space="0" w:color="auto"/>
        <w:right w:val="none" w:sz="0" w:space="0" w:color="auto"/>
      </w:divBdr>
      <w:divsChild>
        <w:div w:id="1965962637">
          <w:marLeft w:val="0"/>
          <w:marRight w:val="0"/>
          <w:marTop w:val="0"/>
          <w:marBottom w:val="0"/>
          <w:divBdr>
            <w:top w:val="none" w:sz="0" w:space="0" w:color="auto"/>
            <w:left w:val="none" w:sz="0" w:space="0" w:color="auto"/>
            <w:bottom w:val="none" w:sz="0" w:space="0" w:color="auto"/>
            <w:right w:val="none" w:sz="0" w:space="0" w:color="auto"/>
          </w:divBdr>
        </w:div>
        <w:div w:id="574635004">
          <w:marLeft w:val="0"/>
          <w:marRight w:val="0"/>
          <w:marTop w:val="0"/>
          <w:marBottom w:val="0"/>
          <w:divBdr>
            <w:top w:val="none" w:sz="0" w:space="0" w:color="auto"/>
            <w:left w:val="none" w:sz="0" w:space="0" w:color="auto"/>
            <w:bottom w:val="none" w:sz="0" w:space="0" w:color="auto"/>
            <w:right w:val="none" w:sz="0" w:space="0" w:color="auto"/>
          </w:divBdr>
          <w:divsChild>
            <w:div w:id="1821460229">
              <w:marLeft w:val="0"/>
              <w:marRight w:val="0"/>
              <w:marTop w:val="0"/>
              <w:marBottom w:val="0"/>
              <w:divBdr>
                <w:top w:val="none" w:sz="0" w:space="0" w:color="auto"/>
                <w:left w:val="none" w:sz="0" w:space="0" w:color="auto"/>
                <w:bottom w:val="none" w:sz="0" w:space="0" w:color="auto"/>
                <w:right w:val="none" w:sz="0" w:space="0" w:color="auto"/>
              </w:divBdr>
            </w:div>
            <w:div w:id="826480554">
              <w:marLeft w:val="0"/>
              <w:marRight w:val="0"/>
              <w:marTop w:val="0"/>
              <w:marBottom w:val="0"/>
              <w:divBdr>
                <w:top w:val="none" w:sz="0" w:space="0" w:color="auto"/>
                <w:left w:val="none" w:sz="0" w:space="0" w:color="auto"/>
                <w:bottom w:val="none" w:sz="0" w:space="0" w:color="auto"/>
                <w:right w:val="none" w:sz="0" w:space="0" w:color="auto"/>
              </w:divBdr>
            </w:div>
            <w:div w:id="16876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99957">
      <w:bodyDiv w:val="1"/>
      <w:marLeft w:val="0"/>
      <w:marRight w:val="0"/>
      <w:marTop w:val="0"/>
      <w:marBottom w:val="0"/>
      <w:divBdr>
        <w:top w:val="none" w:sz="0" w:space="0" w:color="auto"/>
        <w:left w:val="none" w:sz="0" w:space="0" w:color="auto"/>
        <w:bottom w:val="none" w:sz="0" w:space="0" w:color="auto"/>
        <w:right w:val="none" w:sz="0" w:space="0" w:color="auto"/>
      </w:divBdr>
      <w:divsChild>
        <w:div w:id="1417287153">
          <w:marLeft w:val="0"/>
          <w:marRight w:val="0"/>
          <w:marTop w:val="0"/>
          <w:marBottom w:val="0"/>
          <w:divBdr>
            <w:top w:val="none" w:sz="0" w:space="0" w:color="auto"/>
            <w:left w:val="none" w:sz="0" w:space="0" w:color="auto"/>
            <w:bottom w:val="none" w:sz="0" w:space="0" w:color="auto"/>
            <w:right w:val="none" w:sz="0" w:space="0" w:color="auto"/>
          </w:divBdr>
        </w:div>
        <w:div w:id="977879610">
          <w:marLeft w:val="0"/>
          <w:marRight w:val="0"/>
          <w:marTop w:val="0"/>
          <w:marBottom w:val="0"/>
          <w:divBdr>
            <w:top w:val="none" w:sz="0" w:space="0" w:color="auto"/>
            <w:left w:val="none" w:sz="0" w:space="0" w:color="auto"/>
            <w:bottom w:val="none" w:sz="0" w:space="0" w:color="auto"/>
            <w:right w:val="none" w:sz="0" w:space="0" w:color="auto"/>
          </w:divBdr>
        </w:div>
        <w:div w:id="1268535995">
          <w:marLeft w:val="0"/>
          <w:marRight w:val="0"/>
          <w:marTop w:val="0"/>
          <w:marBottom w:val="0"/>
          <w:divBdr>
            <w:top w:val="none" w:sz="0" w:space="0" w:color="auto"/>
            <w:left w:val="none" w:sz="0" w:space="0" w:color="auto"/>
            <w:bottom w:val="none" w:sz="0" w:space="0" w:color="auto"/>
            <w:right w:val="none" w:sz="0" w:space="0" w:color="auto"/>
          </w:divBdr>
        </w:div>
        <w:div w:id="1881280525">
          <w:marLeft w:val="0"/>
          <w:marRight w:val="0"/>
          <w:marTop w:val="0"/>
          <w:marBottom w:val="0"/>
          <w:divBdr>
            <w:top w:val="none" w:sz="0" w:space="0" w:color="auto"/>
            <w:left w:val="none" w:sz="0" w:space="0" w:color="auto"/>
            <w:bottom w:val="none" w:sz="0" w:space="0" w:color="auto"/>
            <w:right w:val="none" w:sz="0" w:space="0" w:color="auto"/>
          </w:divBdr>
        </w:div>
      </w:divsChild>
    </w:div>
    <w:div w:id="1700549391">
      <w:bodyDiv w:val="1"/>
      <w:marLeft w:val="0"/>
      <w:marRight w:val="0"/>
      <w:marTop w:val="0"/>
      <w:marBottom w:val="0"/>
      <w:divBdr>
        <w:top w:val="none" w:sz="0" w:space="0" w:color="auto"/>
        <w:left w:val="none" w:sz="0" w:space="0" w:color="auto"/>
        <w:bottom w:val="none" w:sz="0" w:space="0" w:color="auto"/>
        <w:right w:val="none" w:sz="0" w:space="0" w:color="auto"/>
      </w:divBdr>
      <w:divsChild>
        <w:div w:id="237137174">
          <w:marLeft w:val="0"/>
          <w:marRight w:val="0"/>
          <w:marTop w:val="0"/>
          <w:marBottom w:val="0"/>
          <w:divBdr>
            <w:top w:val="none" w:sz="0" w:space="0" w:color="auto"/>
            <w:left w:val="none" w:sz="0" w:space="0" w:color="auto"/>
            <w:bottom w:val="none" w:sz="0" w:space="0" w:color="auto"/>
            <w:right w:val="none" w:sz="0" w:space="0" w:color="auto"/>
          </w:divBdr>
        </w:div>
        <w:div w:id="127364970">
          <w:marLeft w:val="0"/>
          <w:marRight w:val="0"/>
          <w:marTop w:val="0"/>
          <w:marBottom w:val="0"/>
          <w:divBdr>
            <w:top w:val="none" w:sz="0" w:space="0" w:color="auto"/>
            <w:left w:val="none" w:sz="0" w:space="0" w:color="auto"/>
            <w:bottom w:val="none" w:sz="0" w:space="0" w:color="auto"/>
            <w:right w:val="none" w:sz="0" w:space="0" w:color="auto"/>
          </w:divBdr>
        </w:div>
      </w:divsChild>
    </w:div>
    <w:div w:id="1764063304">
      <w:bodyDiv w:val="1"/>
      <w:marLeft w:val="0"/>
      <w:marRight w:val="0"/>
      <w:marTop w:val="0"/>
      <w:marBottom w:val="0"/>
      <w:divBdr>
        <w:top w:val="none" w:sz="0" w:space="0" w:color="auto"/>
        <w:left w:val="none" w:sz="0" w:space="0" w:color="auto"/>
        <w:bottom w:val="none" w:sz="0" w:space="0" w:color="auto"/>
        <w:right w:val="none" w:sz="0" w:space="0" w:color="auto"/>
      </w:divBdr>
    </w:div>
    <w:div w:id="1825050575">
      <w:bodyDiv w:val="1"/>
      <w:marLeft w:val="0"/>
      <w:marRight w:val="0"/>
      <w:marTop w:val="0"/>
      <w:marBottom w:val="0"/>
      <w:divBdr>
        <w:top w:val="none" w:sz="0" w:space="0" w:color="auto"/>
        <w:left w:val="none" w:sz="0" w:space="0" w:color="auto"/>
        <w:bottom w:val="none" w:sz="0" w:space="0" w:color="auto"/>
        <w:right w:val="none" w:sz="0" w:space="0" w:color="auto"/>
      </w:divBdr>
    </w:div>
    <w:div w:id="1866824753">
      <w:bodyDiv w:val="1"/>
      <w:marLeft w:val="0"/>
      <w:marRight w:val="0"/>
      <w:marTop w:val="0"/>
      <w:marBottom w:val="0"/>
      <w:divBdr>
        <w:top w:val="none" w:sz="0" w:space="0" w:color="auto"/>
        <w:left w:val="none" w:sz="0" w:space="0" w:color="auto"/>
        <w:bottom w:val="none" w:sz="0" w:space="0" w:color="auto"/>
        <w:right w:val="none" w:sz="0" w:space="0" w:color="auto"/>
      </w:divBdr>
    </w:div>
    <w:div w:id="1976253404">
      <w:bodyDiv w:val="1"/>
      <w:marLeft w:val="0"/>
      <w:marRight w:val="0"/>
      <w:marTop w:val="0"/>
      <w:marBottom w:val="0"/>
      <w:divBdr>
        <w:top w:val="none" w:sz="0" w:space="0" w:color="auto"/>
        <w:left w:val="none" w:sz="0" w:space="0" w:color="auto"/>
        <w:bottom w:val="none" w:sz="0" w:space="0" w:color="auto"/>
        <w:right w:val="none" w:sz="0" w:space="0" w:color="auto"/>
      </w:divBdr>
      <w:divsChild>
        <w:div w:id="77142657">
          <w:marLeft w:val="0"/>
          <w:marRight w:val="0"/>
          <w:marTop w:val="0"/>
          <w:marBottom w:val="0"/>
          <w:divBdr>
            <w:top w:val="none" w:sz="0" w:space="0" w:color="auto"/>
            <w:left w:val="none" w:sz="0" w:space="0" w:color="auto"/>
            <w:bottom w:val="none" w:sz="0" w:space="0" w:color="auto"/>
            <w:right w:val="none" w:sz="0" w:space="0" w:color="auto"/>
          </w:divBdr>
        </w:div>
        <w:div w:id="1468475798">
          <w:marLeft w:val="0"/>
          <w:marRight w:val="0"/>
          <w:marTop w:val="0"/>
          <w:marBottom w:val="0"/>
          <w:divBdr>
            <w:top w:val="none" w:sz="0" w:space="0" w:color="auto"/>
            <w:left w:val="none" w:sz="0" w:space="0" w:color="auto"/>
            <w:bottom w:val="none" w:sz="0" w:space="0" w:color="auto"/>
            <w:right w:val="none" w:sz="0" w:space="0" w:color="auto"/>
          </w:divBdr>
          <w:divsChild>
            <w:div w:id="1584412692">
              <w:marLeft w:val="0"/>
              <w:marRight w:val="0"/>
              <w:marTop w:val="0"/>
              <w:marBottom w:val="0"/>
              <w:divBdr>
                <w:top w:val="none" w:sz="0" w:space="0" w:color="auto"/>
                <w:left w:val="none" w:sz="0" w:space="0" w:color="auto"/>
                <w:bottom w:val="none" w:sz="0" w:space="0" w:color="auto"/>
                <w:right w:val="none" w:sz="0" w:space="0" w:color="auto"/>
              </w:divBdr>
            </w:div>
            <w:div w:id="1862428429">
              <w:marLeft w:val="0"/>
              <w:marRight w:val="0"/>
              <w:marTop w:val="0"/>
              <w:marBottom w:val="0"/>
              <w:divBdr>
                <w:top w:val="none" w:sz="0" w:space="0" w:color="auto"/>
                <w:left w:val="none" w:sz="0" w:space="0" w:color="auto"/>
                <w:bottom w:val="none" w:sz="0" w:space="0" w:color="auto"/>
                <w:right w:val="none" w:sz="0" w:space="0" w:color="auto"/>
              </w:divBdr>
            </w:div>
            <w:div w:id="225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749">
      <w:bodyDiv w:val="1"/>
      <w:marLeft w:val="0"/>
      <w:marRight w:val="0"/>
      <w:marTop w:val="0"/>
      <w:marBottom w:val="0"/>
      <w:divBdr>
        <w:top w:val="none" w:sz="0" w:space="0" w:color="auto"/>
        <w:left w:val="none" w:sz="0" w:space="0" w:color="auto"/>
        <w:bottom w:val="none" w:sz="0" w:space="0" w:color="auto"/>
        <w:right w:val="none" w:sz="0" w:space="0" w:color="auto"/>
      </w:divBdr>
    </w:div>
    <w:div w:id="21337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un.org/en/development/desa/population/publications/pdf/fertility/Report_Adolescent-Fertility-since-ICPD.pdf" TargetMode="External"/><Relationship Id="rId18" Type="http://schemas.openxmlformats.org/officeDocument/2006/relationships/hyperlink" Target="http://eacea.ec.europa.eu/education/eurydice/documents/thematic_reports/120en.pdf" TargetMode="External"/><Relationship Id="rId26" Type="http://schemas.openxmlformats.org/officeDocument/2006/relationships/hyperlink" Target="http://www.ldb.lt/informacija/patarimai/patarimaiieskantiemsdarbo/puslapiai/kas_gali_buti_laikomas.aspx" TargetMode="External"/><Relationship Id="rId39" Type="http://schemas.openxmlformats.org/officeDocument/2006/relationships/hyperlink" Target="http://www.europarl.europa.eu/RegData/etudes/workshop/join/2013/493037/IPOL-FEMM_AT%282013%29493037_EN.pdf" TargetMode="External"/><Relationship Id="rId21" Type="http://schemas.openxmlformats.org/officeDocument/2006/relationships/hyperlink" Target="https://osp.stat.gov.lt/documents/10180/0/nesimokantieji_metainfo/678c9484-5562-45cb-80ec-14df03083e20" TargetMode="External"/><Relationship Id="rId34" Type="http://schemas.openxmlformats.org/officeDocument/2006/relationships/hyperlink" Target="https://www.tevu-darzelis.lt/vaiko-prieziuros-atostogos-ir-ismokos/" TargetMode="External"/><Relationship Id="rId42" Type="http://schemas.openxmlformats.org/officeDocument/2006/relationships/hyperlink" Target="http://www.europarl.europa.eu/RegData/etudes/workshop/join/2013/493037/IPOL-FEMM_AT(2013)493037_EN.pdf" TargetMode="External"/><Relationship Id="rId47" Type="http://schemas.openxmlformats.org/officeDocument/2006/relationships/hyperlink" Target="https://osp.stat.gov.lt/informaciniai-pranesimai?eventId=94157" TargetMode="External"/><Relationship Id="rId50" Type="http://schemas.openxmlformats.org/officeDocument/2006/relationships/hyperlink" Target="https://ec.europa.eu/info/sites/info/files/european-semester_thematic-factsheet_labour-force-participation-women_en.pdf" TargetMode="External"/><Relationship Id="rId55" Type="http://schemas.openxmlformats.org/officeDocument/2006/relationships/hyperlink" Target="http://www.socialiniszemelapis.lt/index.php?-1309863976" TargetMode="External"/><Relationship Id="rId63" Type="http://schemas.openxmlformats.org/officeDocument/2006/relationships/hyperlink" Target="http://www.hi.lt/uploads/pdf/padaliniai/BAS/Vaiku%20sveikata%202001-2013%20pdf.pdf" TargetMode="External"/><Relationship Id="rId68" Type="http://schemas.openxmlformats.org/officeDocument/2006/relationships/hyperlink" Target="https://policija.lrv.lt/lt/veiklos-sritys/viesosios-tvarkos-ir-gyventoju-saugumo-uztikrinimas/smurtas-artimoje-aplinkoje/kur-kreiptis-patyrus-smurta/specializuotos-pagalbos-centrai" TargetMode="External"/><Relationship Id="rId7" Type="http://schemas.openxmlformats.org/officeDocument/2006/relationships/hyperlink" Target="https://osp.stat.gov.lt/services-portlet/pub-edition-file?id=27100" TargetMode="External"/><Relationship Id="rId71" Type="http://schemas.openxmlformats.org/officeDocument/2006/relationships/hyperlink" Target="https://osp.stat.gov.lt/documents/10180/576798/Skurdo_rodikliu_metodika_2016.pdf" TargetMode="External"/><Relationship Id="rId2" Type="http://schemas.openxmlformats.org/officeDocument/2006/relationships/hyperlink" Target="https://osp.stat.gov.lt/documents/10180/130368/Metodika_2016_149.pdf" TargetMode="External"/><Relationship Id="rId16" Type="http://schemas.openxmlformats.org/officeDocument/2006/relationships/hyperlink" Target="http://eacea.ec.europa.eu/education/eurydice/documents/thematic_reports/120en.pdf" TargetMode="External"/><Relationship Id="rId29" Type="http://schemas.openxmlformats.org/officeDocument/2006/relationships/hyperlink" Target="http://www.pensijusistema.lt/index.php?619557871" TargetMode="External"/><Relationship Id="rId1" Type="http://schemas.openxmlformats.org/officeDocument/2006/relationships/hyperlink" Target="https://e-seimas.lrs.lt/portal/legalActPrint/lt?jfwid=a82o5airv&amp;actualEditionId=GuhEhIQOzB&amp;documentId=TAIS.415723&amp;category=TAD" TargetMode="External"/><Relationship Id="rId6" Type="http://schemas.openxmlformats.org/officeDocument/2006/relationships/hyperlink" Target="http://www.searo.who.int/entity/health_situation_trends/data/chi/sex-ratio/en/" TargetMode="External"/><Relationship Id="rId11" Type="http://schemas.openxmlformats.org/officeDocument/2006/relationships/hyperlink" Target="https://www.unfpa.org/sites/default/files/pub-pdf/EN-SWOP2013.pdf" TargetMode="External"/><Relationship Id="rId24" Type="http://schemas.openxmlformats.org/officeDocument/2006/relationships/hyperlink" Target="https://osp.stat.gov.lt/naujienos?articleId=5428501" TargetMode="External"/><Relationship Id="rId32" Type="http://schemas.openxmlformats.org/officeDocument/2006/relationships/hyperlink" Target="https://www.researchgate.net/publication/274707083_Contested_Gender_Equality_and_Policy_Variety_in_Europe_Introducing_a_Critical_Frame_Analysis_Approach_Mieke_Verloo_and_Emanuela_Lombardo" TargetMode="External"/><Relationship Id="rId37" Type="http://schemas.openxmlformats.org/officeDocument/2006/relationships/hyperlink" Target="https://www.researchgate.net/publication/274707083_Contested_Gender_Equality_and_Policy_Variety_in_Europe_Introducing_a_Critical_Frame_Analysis_Approach_Mieke_Verloo_and_Emanuela_Lombardo" TargetMode="External"/><Relationship Id="rId40" Type="http://schemas.openxmlformats.org/officeDocument/2006/relationships/hyperlink" Target="http://www.europarl.europa.eu/RegData/etudes/workshop/join/2013/493037/IPOL-FEMM_AT%282013%29493037_EN.pdf" TargetMode="External"/><Relationship Id="rId45" Type="http://schemas.openxmlformats.org/officeDocument/2006/relationships/hyperlink" Target="http://www.euro.who.int/__data/assets/pdf_file/0004/64966/E92560.pdf" TargetMode="External"/><Relationship Id="rId53" Type="http://schemas.openxmlformats.org/officeDocument/2006/relationships/hyperlink" Target="https://www.15min.lt/naujiena/aktualu/sociumas/isankstine-pensija-kas-jos-kreipiasi-ir-ka-butina-zinoti-1083-856744" TargetMode="External"/><Relationship Id="rId58" Type="http://schemas.openxmlformats.org/officeDocument/2006/relationships/hyperlink" Target="https://ec.europa.eu/epale/sites/epale/files/00033.docx" TargetMode="External"/><Relationship Id="rId66" Type="http://schemas.openxmlformats.org/officeDocument/2006/relationships/hyperlink" Target="http://ec.europa.eu/eurostat/statistics-explained/index.php/Crime_and_criminal_justice_statistics/lt" TargetMode="External"/><Relationship Id="rId5" Type="http://schemas.openxmlformats.org/officeDocument/2006/relationships/hyperlink" Target="https://osp.stat.gov.lt/documents/10180/0/gyventoju+skaicius_metainfo" TargetMode="External"/><Relationship Id="rId15" Type="http://schemas.openxmlformats.org/officeDocument/2006/relationships/hyperlink" Target="https://www.unece.org/fileadmin/DAM/stats/publications/2015/ECE_CES_37_WEB.pdf" TargetMode="External"/><Relationship Id="rId23" Type="http://schemas.openxmlformats.org/officeDocument/2006/relationships/hyperlink" Target="http://ec.europa.eu/eurostat/statistics-explained/index.php/Gender_statistics" TargetMode="External"/><Relationship Id="rId28" Type="http://schemas.openxmlformats.org/officeDocument/2006/relationships/hyperlink" Target="https://osp.stat.gov.lt/documents/10180/3329771/Gyventojai.pdf" TargetMode="External"/><Relationship Id="rId36" Type="http://schemas.openxmlformats.org/officeDocument/2006/relationships/hyperlink" Target="http://www.sodra.lt/lt/situacijos/noriu-priziureti-kudiki-motinystes-tevystes-ismoka" TargetMode="External"/><Relationship Id="rId49" Type="http://schemas.openxmlformats.org/officeDocument/2006/relationships/hyperlink" Target="https://osp.stat.gov.lt/informaciniai-pranesimai?eventId=94157" TargetMode="External"/><Relationship Id="rId57" Type="http://schemas.openxmlformats.org/officeDocument/2006/relationships/hyperlink" Target="http://www.vilnius.lt/index.php?3052657907" TargetMode="External"/><Relationship Id="rId61" Type="http://schemas.openxmlformats.org/officeDocument/2006/relationships/hyperlink" Target="http://www.springer.com/gp/book/9789812871879" TargetMode="External"/><Relationship Id="rId10" Type="http://schemas.openxmlformats.org/officeDocument/2006/relationships/hyperlink" Target="https://osp.stat.gov.lt/documents/10180/1468200/Vid_tiketinos_gyv_trukmes_RKA_2012.pdf/87d68529-95f4-4d48-9f32-15befa485dad" TargetMode="External"/><Relationship Id="rId19" Type="http://schemas.openxmlformats.org/officeDocument/2006/relationships/hyperlink" Target="https://unstats.un.org/unsd/genderstatmanual/Print.aspx?Page=Educational-participation" TargetMode="External"/><Relationship Id="rId31" Type="http://schemas.openxmlformats.org/officeDocument/2006/relationships/hyperlink" Target="http://www.sodra.lt/tevystes-ismokos-naujoves" TargetMode="External"/><Relationship Id="rId44" Type="http://schemas.openxmlformats.org/officeDocument/2006/relationships/hyperlink" Target="https://osp.stat.gov.lt/documents/10180/0/neformalusis+ugdymas_metainfo/1b7cb230-4410-4c09-b166-f5cde160e158" TargetMode="External"/><Relationship Id="rId52" Type="http://schemas.openxmlformats.org/officeDocument/2006/relationships/hyperlink" Target="http://www.sodra.lt/lt/situacijos/isankstine-pensija" TargetMode="External"/><Relationship Id="rId60" Type="http://schemas.openxmlformats.org/officeDocument/2006/relationships/hyperlink" Target="http://www.un.org/womenwatch/daw/egm/eql-men/FinalReport.pdf" TargetMode="External"/><Relationship Id="rId65" Type="http://schemas.openxmlformats.org/officeDocument/2006/relationships/hyperlink" Target="http://www.who.int/reproductivehealth/topics/violence/sexual_violence/en/" TargetMode="External"/><Relationship Id="rId4" Type="http://schemas.openxmlformats.org/officeDocument/2006/relationships/hyperlink" Target="https://osp.stat.gov.lt/documents/10180/0/gyventoju+skaicius_metainfo" TargetMode="External"/><Relationship Id="rId9" Type="http://schemas.openxmlformats.org/officeDocument/2006/relationships/hyperlink" Target="https://data.oecd.org/healthstat/life-expectancy-at-birth.htm" TargetMode="External"/><Relationship Id="rId14" Type="http://schemas.openxmlformats.org/officeDocument/2006/relationships/hyperlink" Target="http://www.un.org/millenniumgoals/2015_MDG_Report/pdf/MDG%202015%20rev%20(July%201).pdf" TargetMode="External"/><Relationship Id="rId22" Type="http://schemas.openxmlformats.org/officeDocument/2006/relationships/hyperlink" Target="https://www.researchgate.net/publication/274707083_Contested_Gender_Equality_and_Policy_Variety_in_Europe_Introducing_a_Critical_Frame_Analysis_Approach_Mieke_Verloo_and_Emanuela_Lombardo" TargetMode="External"/><Relationship Id="rId27" Type="http://schemas.openxmlformats.org/officeDocument/2006/relationships/hyperlink" Target="https://osp.stat.gov.lt/documents/10180/3329771/Gyventojai.pdf" TargetMode="External"/><Relationship Id="rId30" Type="http://schemas.openxmlformats.org/officeDocument/2006/relationships/hyperlink" Target="https://www.e-tar.lt/portal/lt/legalAct/422c8b5042b811e6a8ae9e1795984391" TargetMode="External"/><Relationship Id="rId35" Type="http://schemas.openxmlformats.org/officeDocument/2006/relationships/hyperlink" Target="https://www.researchgate.net/publication/274707083_Contested_Gender_Equality_and_Policy_Variety_in_Europe_Introducing_a_Critical_Frame_Analysis_Approach_Mieke_Verloo_and_Emanuela_Lombardo" TargetMode="External"/><Relationship Id="rId43" Type="http://schemas.openxmlformats.org/officeDocument/2006/relationships/hyperlink" Target="http://ec.europa.eu/justice/gender-equality/files/documents/130531_barcelona_en.pdf" TargetMode="External"/><Relationship Id="rId48" Type="http://schemas.openxmlformats.org/officeDocument/2006/relationships/hyperlink" Target="https://osp.stat.gov.lt/documents/10180/0/moteru+ir+vyru+DU+atotrukis_metainfo" TargetMode="External"/><Relationship Id="rId56" Type="http://schemas.openxmlformats.org/officeDocument/2006/relationships/hyperlink" Target="https://ec.europa.eu/epale/sites/epale/files/00033.docx" TargetMode="External"/><Relationship Id="rId64" Type="http://schemas.openxmlformats.org/officeDocument/2006/relationships/hyperlink" Target="http://www.hi.lt/uploads/pdf/padaliniai/BAS/Vaiku%20sveikata%202001-2013%20pdf.pdf" TargetMode="External"/><Relationship Id="rId69" Type="http://schemas.openxmlformats.org/officeDocument/2006/relationships/hyperlink" Target="https://policija.lrv.lt/lt/veiklos-sritys/viesosios-tvarkos-ir-gyventoju-saugumo-uztikrinimas/smurtas-artimoje-aplinkoje/kur-kreiptis-patyrus-smurta/specializuotos-pagalbos-centrai" TargetMode="External"/><Relationship Id="rId8" Type="http://schemas.openxmlformats.org/officeDocument/2006/relationships/hyperlink" Target="http://www.rosavzw.be/digidocs/dd-001417_2016_Gender_Age_Migration_IDS.pdf" TargetMode="External"/><Relationship Id="rId51" Type="http://schemas.openxmlformats.org/officeDocument/2006/relationships/hyperlink" Target="http://www.europarl.europa.eu/RegData/etudes/STUD/2016/571363/IPOL_STU(2016)571363_EN.pdf" TargetMode="External"/><Relationship Id="rId72" Type="http://schemas.openxmlformats.org/officeDocument/2006/relationships/hyperlink" Target="https://www.researchgate.net/publication/274707083_Contested_Gender_Equality_and_Policy_Variety_in_Europe_Introducing_a_Critical_Frame_Analysis_Approach_Mieke_Verloo_and_Emanuela_Lombardo" TargetMode="External"/><Relationship Id="rId3" Type="http://schemas.openxmlformats.org/officeDocument/2006/relationships/hyperlink" Target="https://osp.stat.gov.lt/documents/10180/130368/Metodika_2016_149.pdf" TargetMode="External"/><Relationship Id="rId12" Type="http://schemas.openxmlformats.org/officeDocument/2006/relationships/hyperlink" Target="https://www.plannedparenthood.org/files/6813/9611/7632/Reducing_Teen_Pregnancy.pdf" TargetMode="External"/><Relationship Id="rId17" Type="http://schemas.openxmlformats.org/officeDocument/2006/relationships/hyperlink" Target="http://eacea.ec.europa.eu/education/eurydice/documents/thematic_reports/163EN.pdf" TargetMode="External"/><Relationship Id="rId25" Type="http://schemas.openxmlformats.org/officeDocument/2006/relationships/hyperlink" Target="https://www.researchgate.net/publication/274707083_Contested_Gender_Equality_and_Policy_Variety_in_Europe_Introducing_a_Critical_Frame_Analysis_Approach_Mieke_Verloo_and_Emanuela_Lombardo" TargetMode="External"/><Relationship Id="rId33" Type="http://schemas.openxmlformats.org/officeDocument/2006/relationships/hyperlink" Target="http://www.sodra.lt/lt/situacijos/informacija-gyventojams/noriu-gauti-motinystes-arba-tevystes-ismoka/gime-kudikis-tevystes-ismoka" TargetMode="External"/><Relationship Id="rId38" Type="http://schemas.openxmlformats.org/officeDocument/2006/relationships/hyperlink" Target="http://www.sodra.lt/lt/situacijos/noriu-priziureti-kudiki-motinystes-tevystes-ismoka" TargetMode="External"/><Relationship Id="rId46" Type="http://schemas.openxmlformats.org/officeDocument/2006/relationships/hyperlink" Target="http://socialiniupaslaugucentras.lt/norintiems-gauti-socialines-pagalbos-namuose-paslaugas.html" TargetMode="External"/><Relationship Id="rId59" Type="http://schemas.openxmlformats.org/officeDocument/2006/relationships/hyperlink" Target="http://www.vilnius.lt/index.php?3052657907" TargetMode="External"/><Relationship Id="rId67" Type="http://schemas.openxmlformats.org/officeDocument/2006/relationships/hyperlink" Target="https://policija.lrv.lt/lt/veiklos-sritys/viesosios-tvarkos-ir-gyventoju-saugumo-uztikrinimas/smurtas-artimoje-aplinkoje/kur-kreiptis-patyrus-smurta/specializuotos-pagalbos-centrai" TargetMode="External"/><Relationship Id="rId20" Type="http://schemas.openxmlformats.org/officeDocument/2006/relationships/hyperlink" Target="https://osp.stat.gov.lt/statistiniu-rodikliu-analize" TargetMode="External"/><Relationship Id="rId41" Type="http://schemas.openxmlformats.org/officeDocument/2006/relationships/hyperlink" Target="http://ec.europa.eu/justice/gender-equality/files/documents/130531_barcelona_en.pdf" TargetMode="External"/><Relationship Id="rId54" Type="http://schemas.openxmlformats.org/officeDocument/2006/relationships/hyperlink" Target="http://www.vilnius.lt/index.php?3052657907" TargetMode="External"/><Relationship Id="rId62" Type="http://schemas.openxmlformats.org/officeDocument/2006/relationships/hyperlink" Target="http://www.springer.com/gp/book/9789812871879" TargetMode="External"/><Relationship Id="rId70" Type="http://schemas.openxmlformats.org/officeDocument/2006/relationships/hyperlink" Target="https://policija.lrv.lt/lt/veiklos-sritys/viesosios-tvarkos-ir-gyventoju-saugumo-uztikrinimas/smurtas-artimoje-aplinkoje/kur-kreiptis-patyrus-smurta/specializuotos-pagalbos-cent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A1ED-51E7-432D-BCB3-826D8588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34661</Words>
  <Characters>19757</Characters>
  <Application>Microsoft Office Word</Application>
  <DocSecurity>0</DocSecurity>
  <Lines>164</Lines>
  <Paragraphs>108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Burokaitė</dc:creator>
  <cp:lastModifiedBy>Julija.s</cp:lastModifiedBy>
  <cp:revision>2</cp:revision>
  <dcterms:created xsi:type="dcterms:W3CDTF">2018-03-26T06:58:00Z</dcterms:created>
  <dcterms:modified xsi:type="dcterms:W3CDTF">2018-03-26T06:58:00Z</dcterms:modified>
</cp:coreProperties>
</file>